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10E8" w14:textId="5F090A79" w:rsidR="001615E1" w:rsidRDefault="000A0D49" w:rsidP="00B42430">
      <w:pPr>
        <w:ind w:right="312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0A0D49">
        <w:rPr>
          <w:rFonts w:ascii="Arial" w:hAnsi="Arial" w:cs="Arial"/>
          <w:b/>
          <w:sz w:val="24"/>
          <w:szCs w:val="22"/>
        </w:rPr>
        <w:t>Tabl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3: 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Gweithwyr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(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amcangyfrifon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yn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seiliedig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ar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0A0D49">
        <w:rPr>
          <w:rFonts w:ascii="Arial" w:hAnsi="Arial" w:cs="Arial"/>
          <w:b/>
          <w:sz w:val="24"/>
          <w:szCs w:val="22"/>
        </w:rPr>
        <w:t>weithleoedd</w:t>
      </w:r>
      <w:proofErr w:type="spellEnd"/>
      <w:r w:rsidRPr="000A0D49">
        <w:rPr>
          <w:rFonts w:ascii="Arial" w:hAnsi="Arial" w:cs="Arial"/>
          <w:b/>
          <w:sz w:val="24"/>
          <w:szCs w:val="22"/>
        </w:rPr>
        <w:t>)</w:t>
      </w:r>
    </w:p>
    <w:p w14:paraId="52E3C1D8" w14:textId="77777777" w:rsidR="000A0D49" w:rsidRPr="00B42430" w:rsidRDefault="000A0D49" w:rsidP="001615E1">
      <w:pPr>
        <w:ind w:left="-142" w:right="312"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4"/>
        <w:gridCol w:w="1134"/>
        <w:gridCol w:w="958"/>
        <w:gridCol w:w="885"/>
      </w:tblGrid>
      <w:tr w:rsidR="001615E1" w:rsidRPr="001D33E2" w14:paraId="7349473A" w14:textId="77777777" w:rsidTr="00FD30A1">
        <w:tc>
          <w:tcPr>
            <w:tcW w:w="5387" w:type="dxa"/>
            <w:shd w:val="clear" w:color="auto" w:fill="E6E6E6"/>
            <w:vAlign w:val="center"/>
          </w:tcPr>
          <w:p w14:paraId="2B9C9768" w14:textId="77777777" w:rsidR="001615E1" w:rsidRPr="001D33E2" w:rsidRDefault="001615E1" w:rsidP="00DE5406">
            <w:pPr>
              <w:rPr>
                <w:rFonts w:ascii="Arial" w:hAnsi="Arial" w:cs="Arial"/>
                <w:b/>
              </w:rPr>
            </w:pPr>
            <w:r w:rsidRPr="008C4576">
              <w:rPr>
                <w:rFonts w:ascii="Arial" w:hAnsi="Arial" w:cs="Arial"/>
                <w:b/>
                <w:bCs/>
                <w:lang w:val="cy-GB"/>
              </w:rPr>
              <w:t>Grŵp Diwydiant Cyffredinol</w:t>
            </w:r>
            <w:r w:rsidRPr="001D33E2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1D33E2">
              <w:rPr>
                <w:rFonts w:ascii="Arial" w:hAnsi="Arial" w:cs="Arial"/>
                <w:bCs/>
                <w:lang w:val="cy-GB"/>
              </w:rPr>
              <w:t>(SIC 2007)</w:t>
            </w:r>
          </w:p>
          <w:p w14:paraId="316945D3" w14:textId="77777777" w:rsidR="001615E1" w:rsidRPr="001D33E2" w:rsidRDefault="001615E1" w:rsidP="00DE5406">
            <w:pPr>
              <w:rPr>
                <w:rFonts w:ascii="Arial" w:hAnsi="Arial" w:cs="Arial"/>
                <w:b/>
              </w:rPr>
            </w:pPr>
            <w:r w:rsidRPr="001D33E2">
              <w:rPr>
                <w:rFonts w:asciiTheme="minorHAnsi" w:hAnsiTheme="minorHAnsi" w:cs="Arial"/>
                <w:lang w:val="cy-GB"/>
              </w:rPr>
              <w:t>(data 'mynediad agored')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EA88FB6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</w:rPr>
            </w:pPr>
            <w:r w:rsidRPr="001D33E2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1D33E2">
              <w:rPr>
                <w:rFonts w:ascii="Arial" w:hAnsi="Arial" w:cs="Arial"/>
                <w:lang w:val="cy-GB"/>
              </w:rPr>
              <w:t xml:space="preserve"> </w:t>
            </w:r>
            <w:r w:rsidRPr="001D33E2">
              <w:rPr>
                <w:rFonts w:ascii="Arial" w:hAnsi="Arial" w:cs="Arial"/>
                <w:sz w:val="16"/>
                <w:lang w:val="cy-GB"/>
              </w:rPr>
              <w:t>(cyfanswm)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39E0DB7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</w:rPr>
            </w:pPr>
            <w:r w:rsidRPr="001D33E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3180DBBB" w14:textId="77777777" w:rsidR="001615E1" w:rsidRPr="001D33E2" w:rsidRDefault="001615E1" w:rsidP="00DE5406">
            <w:pPr>
              <w:jc w:val="center"/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958" w:type="dxa"/>
            <w:shd w:val="clear" w:color="auto" w:fill="E6E6E6"/>
            <w:vAlign w:val="center"/>
          </w:tcPr>
          <w:p w14:paraId="377A5BE4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D33E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6C241430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D33E2">
              <w:rPr>
                <w:rFonts w:ascii="Arial" w:hAnsi="Arial" w:cs="Arial"/>
                <w:b/>
                <w:bCs/>
                <w:color w:val="FF0000"/>
                <w:lang w:val="cy-GB"/>
              </w:rPr>
              <w:t>(%)</w:t>
            </w:r>
          </w:p>
        </w:tc>
        <w:tc>
          <w:tcPr>
            <w:tcW w:w="885" w:type="dxa"/>
            <w:shd w:val="clear" w:color="auto" w:fill="E6E6E6"/>
            <w:vAlign w:val="center"/>
          </w:tcPr>
          <w:p w14:paraId="3F2777E3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  <w:r w:rsidRPr="001D33E2">
              <w:rPr>
                <w:rFonts w:ascii="Arial" w:hAnsi="Arial" w:cs="Arial"/>
                <w:b/>
                <w:bCs/>
                <w:color w:val="000080"/>
                <w:sz w:val="18"/>
                <w:lang w:val="cy-GB"/>
              </w:rPr>
              <w:t>Prydain</w:t>
            </w:r>
          </w:p>
          <w:p w14:paraId="682F2271" w14:textId="77777777" w:rsidR="001615E1" w:rsidRPr="001D33E2" w:rsidRDefault="001615E1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1D33E2">
              <w:rPr>
                <w:rFonts w:ascii="Arial" w:hAnsi="Arial" w:cs="Arial"/>
                <w:b/>
                <w:bCs/>
                <w:color w:val="000080"/>
                <w:lang w:val="cy-GB"/>
              </w:rPr>
              <w:t>(%)</w:t>
            </w:r>
          </w:p>
        </w:tc>
      </w:tr>
      <w:tr w:rsidR="00FD30A1" w:rsidRPr="001D33E2" w14:paraId="5FB872A9" w14:textId="77777777" w:rsidTr="00FD30A1">
        <w:tc>
          <w:tcPr>
            <w:tcW w:w="5387" w:type="dxa"/>
          </w:tcPr>
          <w:p w14:paraId="5D3E77C7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1: Amaethyddiaeth, Coedwigaeth a Physgota (adran A)</w:t>
            </w:r>
          </w:p>
        </w:tc>
        <w:tc>
          <w:tcPr>
            <w:tcW w:w="1134" w:type="dxa"/>
            <w:vAlign w:val="bottom"/>
          </w:tcPr>
          <w:p w14:paraId="4085E2F0" w14:textId="466AA3DF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  <w:vAlign w:val="bottom"/>
          </w:tcPr>
          <w:p w14:paraId="6B5FDC43" w14:textId="77D226A2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0.2</w:t>
            </w:r>
          </w:p>
        </w:tc>
        <w:tc>
          <w:tcPr>
            <w:tcW w:w="958" w:type="dxa"/>
            <w:vAlign w:val="bottom"/>
          </w:tcPr>
          <w:p w14:paraId="5791F6B1" w14:textId="157C1D0A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1.1</w:t>
            </w:r>
          </w:p>
        </w:tc>
        <w:tc>
          <w:tcPr>
            <w:tcW w:w="885" w:type="dxa"/>
            <w:vAlign w:val="bottom"/>
          </w:tcPr>
          <w:p w14:paraId="15B1C3FD" w14:textId="2DA46FF9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0.7</w:t>
            </w:r>
          </w:p>
        </w:tc>
      </w:tr>
      <w:tr w:rsidR="00FD30A1" w:rsidRPr="001D33E2" w14:paraId="2FF8925D" w14:textId="77777777" w:rsidTr="00FD30A1">
        <w:tc>
          <w:tcPr>
            <w:tcW w:w="5387" w:type="dxa"/>
          </w:tcPr>
          <w:p w14:paraId="4213AE9D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2: Mwyngloddio, chwarela a chyfleustodau (B, D ac E)</w:t>
            </w:r>
          </w:p>
        </w:tc>
        <w:tc>
          <w:tcPr>
            <w:tcW w:w="1134" w:type="dxa"/>
            <w:vAlign w:val="bottom"/>
          </w:tcPr>
          <w:p w14:paraId="081E821F" w14:textId="7C2877F1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1,250</w:t>
            </w:r>
          </w:p>
        </w:tc>
        <w:tc>
          <w:tcPr>
            <w:tcW w:w="1134" w:type="dxa"/>
            <w:vAlign w:val="bottom"/>
          </w:tcPr>
          <w:p w14:paraId="1572A4DF" w14:textId="695A682B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1.2</w:t>
            </w:r>
          </w:p>
        </w:tc>
        <w:tc>
          <w:tcPr>
            <w:tcW w:w="958" w:type="dxa"/>
            <w:vAlign w:val="bottom"/>
          </w:tcPr>
          <w:p w14:paraId="6A2BCF08" w14:textId="5FE3668F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1.5</w:t>
            </w:r>
          </w:p>
        </w:tc>
        <w:tc>
          <w:tcPr>
            <w:tcW w:w="885" w:type="dxa"/>
            <w:vAlign w:val="bottom"/>
          </w:tcPr>
          <w:p w14:paraId="2DB265CF" w14:textId="566EB09C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1.2</w:t>
            </w:r>
          </w:p>
        </w:tc>
      </w:tr>
      <w:tr w:rsidR="00FD30A1" w:rsidRPr="001D33E2" w14:paraId="04D67E04" w14:textId="77777777" w:rsidTr="00FD30A1">
        <w:tc>
          <w:tcPr>
            <w:tcW w:w="5387" w:type="dxa"/>
          </w:tcPr>
          <w:p w14:paraId="6E13BD4B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3: Gweithgynhyrchu (C)</w:t>
            </w:r>
          </w:p>
        </w:tc>
        <w:tc>
          <w:tcPr>
            <w:tcW w:w="1134" w:type="dxa"/>
            <w:vAlign w:val="bottom"/>
          </w:tcPr>
          <w:p w14:paraId="0651D957" w14:textId="3E084664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5,000</w:t>
            </w:r>
          </w:p>
        </w:tc>
        <w:tc>
          <w:tcPr>
            <w:tcW w:w="1134" w:type="dxa"/>
            <w:vAlign w:val="bottom"/>
          </w:tcPr>
          <w:p w14:paraId="0D0B9216" w14:textId="1E0A4F5A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4.6</w:t>
            </w:r>
          </w:p>
        </w:tc>
        <w:tc>
          <w:tcPr>
            <w:tcW w:w="958" w:type="dxa"/>
            <w:vAlign w:val="bottom"/>
          </w:tcPr>
          <w:p w14:paraId="0FF0014E" w14:textId="79F3E2B9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10.7</w:t>
            </w:r>
          </w:p>
        </w:tc>
        <w:tc>
          <w:tcPr>
            <w:tcW w:w="885" w:type="dxa"/>
            <w:vAlign w:val="bottom"/>
          </w:tcPr>
          <w:p w14:paraId="056EC05E" w14:textId="6F05084A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7.5</w:t>
            </w:r>
          </w:p>
        </w:tc>
      </w:tr>
      <w:tr w:rsidR="00FD30A1" w:rsidRPr="001D33E2" w14:paraId="6F2820ED" w14:textId="77777777" w:rsidTr="00FD30A1">
        <w:tc>
          <w:tcPr>
            <w:tcW w:w="5387" w:type="dxa"/>
          </w:tcPr>
          <w:p w14:paraId="33AD04D8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4: Adeiladu (F)</w:t>
            </w:r>
          </w:p>
        </w:tc>
        <w:tc>
          <w:tcPr>
            <w:tcW w:w="1134" w:type="dxa"/>
            <w:vAlign w:val="bottom"/>
          </w:tcPr>
          <w:p w14:paraId="0F9F9E73" w14:textId="5BF6D020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6,000</w:t>
            </w:r>
          </w:p>
        </w:tc>
        <w:tc>
          <w:tcPr>
            <w:tcW w:w="1134" w:type="dxa"/>
            <w:vAlign w:val="bottom"/>
          </w:tcPr>
          <w:p w14:paraId="798E5C4B" w14:textId="2DBD6C9E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5.6</w:t>
            </w:r>
          </w:p>
        </w:tc>
        <w:tc>
          <w:tcPr>
            <w:tcW w:w="958" w:type="dxa"/>
            <w:vAlign w:val="bottom"/>
          </w:tcPr>
          <w:p w14:paraId="6577A420" w14:textId="35F559B6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5.1</w:t>
            </w:r>
          </w:p>
        </w:tc>
        <w:tc>
          <w:tcPr>
            <w:tcW w:w="885" w:type="dxa"/>
            <w:vAlign w:val="bottom"/>
          </w:tcPr>
          <w:p w14:paraId="39E05BA2" w14:textId="507AFD6E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4.8</w:t>
            </w:r>
          </w:p>
        </w:tc>
      </w:tr>
      <w:tr w:rsidR="00FD30A1" w:rsidRPr="001D33E2" w14:paraId="41B31370" w14:textId="77777777" w:rsidTr="00FD30A1">
        <w:tc>
          <w:tcPr>
            <w:tcW w:w="5387" w:type="dxa"/>
          </w:tcPr>
          <w:p w14:paraId="71842472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5: Masnachau Moduro (Rhan G)</w:t>
            </w:r>
          </w:p>
        </w:tc>
        <w:tc>
          <w:tcPr>
            <w:tcW w:w="1134" w:type="dxa"/>
            <w:vAlign w:val="bottom"/>
          </w:tcPr>
          <w:p w14:paraId="75772F75" w14:textId="1296CFF2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2,250</w:t>
            </w:r>
          </w:p>
        </w:tc>
        <w:tc>
          <w:tcPr>
            <w:tcW w:w="1134" w:type="dxa"/>
            <w:vAlign w:val="bottom"/>
          </w:tcPr>
          <w:p w14:paraId="78649A0E" w14:textId="222CA018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2.1</w:t>
            </w:r>
          </w:p>
        </w:tc>
        <w:tc>
          <w:tcPr>
            <w:tcW w:w="958" w:type="dxa"/>
            <w:vAlign w:val="bottom"/>
          </w:tcPr>
          <w:p w14:paraId="46770359" w14:textId="06E6B87F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1.5</w:t>
            </w:r>
          </w:p>
        </w:tc>
        <w:tc>
          <w:tcPr>
            <w:tcW w:w="885" w:type="dxa"/>
            <w:vAlign w:val="bottom"/>
          </w:tcPr>
          <w:p w14:paraId="5EC83556" w14:textId="3662C913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1.7</w:t>
            </w:r>
          </w:p>
        </w:tc>
      </w:tr>
      <w:tr w:rsidR="00FD30A1" w:rsidRPr="001D33E2" w14:paraId="47C1D464" w14:textId="77777777" w:rsidTr="00FD30A1">
        <w:tc>
          <w:tcPr>
            <w:tcW w:w="5387" w:type="dxa"/>
          </w:tcPr>
          <w:p w14:paraId="0DFD7872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6: Cyfanwerthu (Rhan G)</w:t>
            </w:r>
          </w:p>
        </w:tc>
        <w:tc>
          <w:tcPr>
            <w:tcW w:w="1134" w:type="dxa"/>
            <w:vAlign w:val="bottom"/>
          </w:tcPr>
          <w:p w14:paraId="50026F33" w14:textId="5E549926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2,500</w:t>
            </w:r>
          </w:p>
        </w:tc>
        <w:tc>
          <w:tcPr>
            <w:tcW w:w="1134" w:type="dxa"/>
            <w:vAlign w:val="bottom"/>
          </w:tcPr>
          <w:p w14:paraId="0870E3CD" w14:textId="6129A5FA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2.3</w:t>
            </w:r>
          </w:p>
        </w:tc>
        <w:tc>
          <w:tcPr>
            <w:tcW w:w="958" w:type="dxa"/>
            <w:vAlign w:val="bottom"/>
          </w:tcPr>
          <w:p w14:paraId="6DDFF501" w14:textId="1C03D1B3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2.3</w:t>
            </w:r>
          </w:p>
        </w:tc>
        <w:tc>
          <w:tcPr>
            <w:tcW w:w="885" w:type="dxa"/>
            <w:vAlign w:val="bottom"/>
          </w:tcPr>
          <w:p w14:paraId="43C716C8" w14:textId="1A57B7BD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3.7</w:t>
            </w:r>
          </w:p>
        </w:tc>
      </w:tr>
      <w:tr w:rsidR="00FD30A1" w:rsidRPr="001D33E2" w14:paraId="30A5ECE2" w14:textId="77777777" w:rsidTr="00FD30A1">
        <w:tc>
          <w:tcPr>
            <w:tcW w:w="5387" w:type="dxa"/>
          </w:tcPr>
          <w:p w14:paraId="71FDE315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7: Manwerthu (Rhan G)</w:t>
            </w:r>
          </w:p>
        </w:tc>
        <w:tc>
          <w:tcPr>
            <w:tcW w:w="1134" w:type="dxa"/>
            <w:vAlign w:val="bottom"/>
          </w:tcPr>
          <w:p w14:paraId="33FD85E7" w14:textId="0B919979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10,000</w:t>
            </w:r>
          </w:p>
        </w:tc>
        <w:tc>
          <w:tcPr>
            <w:tcW w:w="1134" w:type="dxa"/>
            <w:vAlign w:val="bottom"/>
          </w:tcPr>
          <w:p w14:paraId="2006D0B4" w14:textId="45C45882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9.3</w:t>
            </w:r>
          </w:p>
        </w:tc>
        <w:tc>
          <w:tcPr>
            <w:tcW w:w="958" w:type="dxa"/>
            <w:vAlign w:val="bottom"/>
          </w:tcPr>
          <w:p w14:paraId="40813E71" w14:textId="296D35BE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8.8</w:t>
            </w:r>
          </w:p>
        </w:tc>
        <w:tc>
          <w:tcPr>
            <w:tcW w:w="885" w:type="dxa"/>
            <w:vAlign w:val="bottom"/>
          </w:tcPr>
          <w:p w14:paraId="39453F9B" w14:textId="4A4B38D7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8.3</w:t>
            </w:r>
          </w:p>
        </w:tc>
      </w:tr>
      <w:tr w:rsidR="00FD30A1" w:rsidRPr="001D33E2" w14:paraId="157A35CC" w14:textId="77777777" w:rsidTr="00FD30A1">
        <w:tc>
          <w:tcPr>
            <w:tcW w:w="5387" w:type="dxa"/>
          </w:tcPr>
          <w:p w14:paraId="687D7031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8: Trafnidiaeth a storio (gan gynnwys post) (H)</w:t>
            </w:r>
          </w:p>
        </w:tc>
        <w:tc>
          <w:tcPr>
            <w:tcW w:w="1134" w:type="dxa"/>
            <w:vAlign w:val="bottom"/>
          </w:tcPr>
          <w:p w14:paraId="2F45FCB1" w14:textId="5140B1CA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3,000</w:t>
            </w:r>
          </w:p>
        </w:tc>
        <w:tc>
          <w:tcPr>
            <w:tcW w:w="1134" w:type="dxa"/>
            <w:vAlign w:val="bottom"/>
          </w:tcPr>
          <w:p w14:paraId="2AFBD391" w14:textId="01BFAB1E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2.8</w:t>
            </w:r>
          </w:p>
        </w:tc>
        <w:tc>
          <w:tcPr>
            <w:tcW w:w="958" w:type="dxa"/>
            <w:vAlign w:val="bottom"/>
          </w:tcPr>
          <w:p w14:paraId="19F01D2C" w14:textId="75C187AE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3.2</w:t>
            </w:r>
          </w:p>
        </w:tc>
        <w:tc>
          <w:tcPr>
            <w:tcW w:w="885" w:type="dxa"/>
            <w:vAlign w:val="bottom"/>
          </w:tcPr>
          <w:p w14:paraId="2B9BDD01" w14:textId="5456F353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5.0</w:t>
            </w:r>
          </w:p>
        </w:tc>
      </w:tr>
      <w:tr w:rsidR="00FD30A1" w:rsidRPr="001D33E2" w14:paraId="12440653" w14:textId="77777777" w:rsidTr="00FD30A1">
        <w:tc>
          <w:tcPr>
            <w:tcW w:w="5387" w:type="dxa"/>
          </w:tcPr>
          <w:p w14:paraId="0C6EA310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9: Gwasanaethau llety a bwyd (I)</w:t>
            </w:r>
          </w:p>
        </w:tc>
        <w:tc>
          <w:tcPr>
            <w:tcW w:w="1134" w:type="dxa"/>
            <w:vAlign w:val="bottom"/>
          </w:tcPr>
          <w:p w14:paraId="0B724906" w14:textId="6C963E6A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9,000</w:t>
            </w:r>
          </w:p>
        </w:tc>
        <w:tc>
          <w:tcPr>
            <w:tcW w:w="1134" w:type="dxa"/>
            <w:vAlign w:val="bottom"/>
          </w:tcPr>
          <w:p w14:paraId="3A68251A" w14:textId="2C98CF2E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8.3</w:t>
            </w:r>
          </w:p>
        </w:tc>
        <w:tc>
          <w:tcPr>
            <w:tcW w:w="958" w:type="dxa"/>
            <w:vAlign w:val="bottom"/>
          </w:tcPr>
          <w:p w14:paraId="48641995" w14:textId="23FF2F07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8.7</w:t>
            </w:r>
          </w:p>
        </w:tc>
        <w:tc>
          <w:tcPr>
            <w:tcW w:w="885" w:type="dxa"/>
            <w:vAlign w:val="bottom"/>
          </w:tcPr>
          <w:p w14:paraId="43363961" w14:textId="36D15380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7.9</w:t>
            </w:r>
          </w:p>
        </w:tc>
      </w:tr>
      <w:tr w:rsidR="00FD30A1" w:rsidRPr="001D33E2" w14:paraId="4837BD98" w14:textId="77777777" w:rsidTr="00FD30A1">
        <w:tc>
          <w:tcPr>
            <w:tcW w:w="5387" w:type="dxa"/>
          </w:tcPr>
          <w:p w14:paraId="56B34796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10: Gwybodaeth a chyfathrebu (J)</w:t>
            </w:r>
          </w:p>
        </w:tc>
        <w:tc>
          <w:tcPr>
            <w:tcW w:w="1134" w:type="dxa"/>
            <w:vAlign w:val="bottom"/>
          </w:tcPr>
          <w:p w14:paraId="36CE307E" w14:textId="3A14DCB1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2,000</w:t>
            </w:r>
          </w:p>
        </w:tc>
        <w:tc>
          <w:tcPr>
            <w:tcW w:w="1134" w:type="dxa"/>
            <w:vAlign w:val="bottom"/>
          </w:tcPr>
          <w:p w14:paraId="1F2713F0" w14:textId="71DABBDF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1.9</w:t>
            </w:r>
          </w:p>
        </w:tc>
        <w:tc>
          <w:tcPr>
            <w:tcW w:w="958" w:type="dxa"/>
            <w:vAlign w:val="bottom"/>
          </w:tcPr>
          <w:p w14:paraId="3934A093" w14:textId="457A37E6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2.3</w:t>
            </w:r>
          </w:p>
        </w:tc>
        <w:tc>
          <w:tcPr>
            <w:tcW w:w="885" w:type="dxa"/>
            <w:vAlign w:val="bottom"/>
          </w:tcPr>
          <w:p w14:paraId="3300FEB2" w14:textId="51EE0FD8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4.5</w:t>
            </w:r>
          </w:p>
        </w:tc>
      </w:tr>
      <w:tr w:rsidR="00FD30A1" w:rsidRPr="001D33E2" w14:paraId="6D52721B" w14:textId="77777777" w:rsidTr="00FD30A1">
        <w:tc>
          <w:tcPr>
            <w:tcW w:w="5387" w:type="dxa"/>
          </w:tcPr>
          <w:p w14:paraId="1D713C46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11: Ariannol ac yswiriant (K)</w:t>
            </w:r>
          </w:p>
        </w:tc>
        <w:tc>
          <w:tcPr>
            <w:tcW w:w="1134" w:type="dxa"/>
            <w:vAlign w:val="bottom"/>
          </w:tcPr>
          <w:p w14:paraId="1C220AEB" w14:textId="7A0EA21F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4,000</w:t>
            </w:r>
          </w:p>
        </w:tc>
        <w:tc>
          <w:tcPr>
            <w:tcW w:w="1134" w:type="dxa"/>
            <w:vAlign w:val="bottom"/>
          </w:tcPr>
          <w:p w14:paraId="6109A9C4" w14:textId="1067869E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3.7</w:t>
            </w:r>
          </w:p>
        </w:tc>
        <w:tc>
          <w:tcPr>
            <w:tcW w:w="958" w:type="dxa"/>
            <w:vAlign w:val="bottom"/>
          </w:tcPr>
          <w:p w14:paraId="4AC2C095" w14:textId="29064017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2.5</w:t>
            </w:r>
          </w:p>
        </w:tc>
        <w:tc>
          <w:tcPr>
            <w:tcW w:w="885" w:type="dxa"/>
            <w:vAlign w:val="bottom"/>
          </w:tcPr>
          <w:p w14:paraId="2C63020D" w14:textId="6A2BDCFA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3.4</w:t>
            </w:r>
          </w:p>
        </w:tc>
      </w:tr>
      <w:tr w:rsidR="00FD30A1" w:rsidRPr="001D33E2" w14:paraId="54871982" w14:textId="77777777" w:rsidTr="00FD30A1">
        <w:tc>
          <w:tcPr>
            <w:tcW w:w="5387" w:type="dxa"/>
          </w:tcPr>
          <w:p w14:paraId="0EF0574B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12: Eiddo (L)</w:t>
            </w:r>
          </w:p>
        </w:tc>
        <w:tc>
          <w:tcPr>
            <w:tcW w:w="1134" w:type="dxa"/>
            <w:vAlign w:val="bottom"/>
          </w:tcPr>
          <w:p w14:paraId="355197DC" w14:textId="5AD4BB44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1,500</w:t>
            </w:r>
          </w:p>
        </w:tc>
        <w:tc>
          <w:tcPr>
            <w:tcW w:w="1134" w:type="dxa"/>
            <w:vAlign w:val="bottom"/>
          </w:tcPr>
          <w:p w14:paraId="163BB4EE" w14:textId="43CCC740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1.4</w:t>
            </w:r>
          </w:p>
        </w:tc>
        <w:tc>
          <w:tcPr>
            <w:tcW w:w="958" w:type="dxa"/>
            <w:vAlign w:val="bottom"/>
          </w:tcPr>
          <w:p w14:paraId="0B98D86B" w14:textId="2D3FF28B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1.4</w:t>
            </w:r>
          </w:p>
        </w:tc>
        <w:tc>
          <w:tcPr>
            <w:tcW w:w="885" w:type="dxa"/>
            <w:vAlign w:val="bottom"/>
          </w:tcPr>
          <w:p w14:paraId="01B33F11" w14:textId="3E234E48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1.9</w:t>
            </w:r>
          </w:p>
        </w:tc>
      </w:tr>
      <w:tr w:rsidR="00FD30A1" w:rsidRPr="001D33E2" w14:paraId="18EECDFF" w14:textId="77777777" w:rsidTr="00FD30A1">
        <w:tc>
          <w:tcPr>
            <w:tcW w:w="5387" w:type="dxa"/>
          </w:tcPr>
          <w:p w14:paraId="5DEA821E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13: Proffesiynol, gwyddonol a thechnegol (M)</w:t>
            </w:r>
          </w:p>
        </w:tc>
        <w:tc>
          <w:tcPr>
            <w:tcW w:w="1134" w:type="dxa"/>
            <w:vAlign w:val="bottom"/>
          </w:tcPr>
          <w:p w14:paraId="088EAD57" w14:textId="7F9490F6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4,500</w:t>
            </w:r>
          </w:p>
        </w:tc>
        <w:tc>
          <w:tcPr>
            <w:tcW w:w="1134" w:type="dxa"/>
            <w:vAlign w:val="bottom"/>
          </w:tcPr>
          <w:p w14:paraId="649CA06B" w14:textId="2EDA7694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4.2</w:t>
            </w:r>
          </w:p>
        </w:tc>
        <w:tc>
          <w:tcPr>
            <w:tcW w:w="958" w:type="dxa"/>
            <w:vAlign w:val="bottom"/>
          </w:tcPr>
          <w:p w14:paraId="67C32374" w14:textId="43FA0619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5.0</w:t>
            </w:r>
          </w:p>
        </w:tc>
        <w:tc>
          <w:tcPr>
            <w:tcW w:w="885" w:type="dxa"/>
            <w:vAlign w:val="bottom"/>
          </w:tcPr>
          <w:p w14:paraId="4433F946" w14:textId="56578F5F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9.2</w:t>
            </w:r>
          </w:p>
        </w:tc>
      </w:tr>
      <w:tr w:rsidR="00FD30A1" w:rsidRPr="001D33E2" w14:paraId="4BD34E89" w14:textId="77777777" w:rsidTr="00FD30A1">
        <w:tc>
          <w:tcPr>
            <w:tcW w:w="5387" w:type="dxa"/>
          </w:tcPr>
          <w:p w14:paraId="1C6161C4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14: Gwasanaethau cymorth a gweinyddu busnes (N)</w:t>
            </w:r>
          </w:p>
        </w:tc>
        <w:tc>
          <w:tcPr>
            <w:tcW w:w="1134" w:type="dxa"/>
            <w:vAlign w:val="bottom"/>
          </w:tcPr>
          <w:p w14:paraId="5EF06389" w14:textId="1CC36E20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10,000</w:t>
            </w:r>
          </w:p>
        </w:tc>
        <w:tc>
          <w:tcPr>
            <w:tcW w:w="1134" w:type="dxa"/>
            <w:vAlign w:val="bottom"/>
          </w:tcPr>
          <w:p w14:paraId="4727559C" w14:textId="793DB47E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9.3</w:t>
            </w:r>
          </w:p>
        </w:tc>
        <w:tc>
          <w:tcPr>
            <w:tcW w:w="958" w:type="dxa"/>
            <w:vAlign w:val="bottom"/>
          </w:tcPr>
          <w:p w14:paraId="4B0C2F84" w14:textId="3C669ADC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7.3</w:t>
            </w:r>
          </w:p>
        </w:tc>
        <w:tc>
          <w:tcPr>
            <w:tcW w:w="885" w:type="dxa"/>
            <w:vAlign w:val="bottom"/>
          </w:tcPr>
          <w:p w14:paraId="2D87BFBC" w14:textId="5B7D3158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8.7</w:t>
            </w:r>
          </w:p>
        </w:tc>
      </w:tr>
      <w:tr w:rsidR="00FD30A1" w:rsidRPr="001D33E2" w14:paraId="2E4D45D5" w14:textId="77777777" w:rsidTr="00FD30A1">
        <w:tc>
          <w:tcPr>
            <w:tcW w:w="5387" w:type="dxa"/>
          </w:tcPr>
          <w:p w14:paraId="0478C34D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15: Gweinyddiaeth gyhoeddus ac amddiffyn (O)</w:t>
            </w:r>
          </w:p>
        </w:tc>
        <w:tc>
          <w:tcPr>
            <w:tcW w:w="1134" w:type="dxa"/>
            <w:vAlign w:val="bottom"/>
          </w:tcPr>
          <w:p w14:paraId="27E9192C" w14:textId="25A88FC2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13,000</w:t>
            </w:r>
          </w:p>
        </w:tc>
        <w:tc>
          <w:tcPr>
            <w:tcW w:w="1134" w:type="dxa"/>
            <w:vAlign w:val="bottom"/>
          </w:tcPr>
          <w:p w14:paraId="3477694D" w14:textId="6172EFB5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12.0</w:t>
            </w:r>
          </w:p>
        </w:tc>
        <w:tc>
          <w:tcPr>
            <w:tcW w:w="958" w:type="dxa"/>
            <w:vAlign w:val="bottom"/>
          </w:tcPr>
          <w:p w14:paraId="640F9147" w14:textId="175828FF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8.6</w:t>
            </w:r>
          </w:p>
        </w:tc>
        <w:tc>
          <w:tcPr>
            <w:tcW w:w="885" w:type="dxa"/>
            <w:vAlign w:val="bottom"/>
          </w:tcPr>
          <w:p w14:paraId="4445369F" w14:textId="4DA6CD39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4.7</w:t>
            </w:r>
          </w:p>
        </w:tc>
      </w:tr>
      <w:tr w:rsidR="00FD30A1" w:rsidRPr="001D33E2" w14:paraId="7A9BE6DA" w14:textId="77777777" w:rsidTr="00FD30A1">
        <w:tc>
          <w:tcPr>
            <w:tcW w:w="5387" w:type="dxa"/>
          </w:tcPr>
          <w:p w14:paraId="657CCE93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16: Addysg (P)</w:t>
            </w:r>
          </w:p>
        </w:tc>
        <w:tc>
          <w:tcPr>
            <w:tcW w:w="1134" w:type="dxa"/>
            <w:vAlign w:val="bottom"/>
          </w:tcPr>
          <w:p w14:paraId="000DC136" w14:textId="3023091E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11,000</w:t>
            </w:r>
          </w:p>
        </w:tc>
        <w:tc>
          <w:tcPr>
            <w:tcW w:w="1134" w:type="dxa"/>
            <w:vAlign w:val="bottom"/>
          </w:tcPr>
          <w:p w14:paraId="2AB9E5FF" w14:textId="61D002CC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10.2</w:t>
            </w:r>
          </w:p>
        </w:tc>
        <w:tc>
          <w:tcPr>
            <w:tcW w:w="958" w:type="dxa"/>
            <w:vAlign w:val="bottom"/>
          </w:tcPr>
          <w:p w14:paraId="38B93604" w14:textId="4C5BF6A2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8.8</w:t>
            </w:r>
          </w:p>
        </w:tc>
        <w:tc>
          <w:tcPr>
            <w:tcW w:w="885" w:type="dxa"/>
            <w:vAlign w:val="bottom"/>
          </w:tcPr>
          <w:p w14:paraId="3459F86B" w14:textId="5C786682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8.5</w:t>
            </w:r>
          </w:p>
        </w:tc>
      </w:tr>
      <w:tr w:rsidR="00FD30A1" w:rsidRPr="001D33E2" w14:paraId="47765275" w14:textId="77777777" w:rsidTr="00FD30A1">
        <w:tc>
          <w:tcPr>
            <w:tcW w:w="5387" w:type="dxa"/>
          </w:tcPr>
          <w:p w14:paraId="49F42C0F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>17: Iechyd (Q)</w:t>
            </w:r>
          </w:p>
        </w:tc>
        <w:tc>
          <w:tcPr>
            <w:tcW w:w="1134" w:type="dxa"/>
            <w:vAlign w:val="bottom"/>
          </w:tcPr>
          <w:p w14:paraId="374B26D3" w14:textId="5AB54FAC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19,000</w:t>
            </w:r>
          </w:p>
        </w:tc>
        <w:tc>
          <w:tcPr>
            <w:tcW w:w="1134" w:type="dxa"/>
            <w:vAlign w:val="bottom"/>
          </w:tcPr>
          <w:p w14:paraId="591D2B4B" w14:textId="3C88FB0B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17.6</w:t>
            </w:r>
          </w:p>
        </w:tc>
        <w:tc>
          <w:tcPr>
            <w:tcW w:w="958" w:type="dxa"/>
            <w:vAlign w:val="bottom"/>
          </w:tcPr>
          <w:p w14:paraId="4F12B064" w14:textId="03ED9C01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17.1</w:t>
            </w:r>
          </w:p>
        </w:tc>
        <w:tc>
          <w:tcPr>
            <w:tcW w:w="885" w:type="dxa"/>
            <w:vAlign w:val="bottom"/>
          </w:tcPr>
          <w:p w14:paraId="1B05C57F" w14:textId="3D985177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13.9</w:t>
            </w:r>
          </w:p>
        </w:tc>
      </w:tr>
      <w:tr w:rsidR="00FD30A1" w:rsidRPr="001D33E2" w14:paraId="2E839FA0" w14:textId="77777777" w:rsidTr="00FD30A1">
        <w:tc>
          <w:tcPr>
            <w:tcW w:w="5387" w:type="dxa"/>
          </w:tcPr>
          <w:p w14:paraId="21462A9F" w14:textId="77777777" w:rsidR="00FD30A1" w:rsidRPr="001D33E2" w:rsidRDefault="00FD30A1" w:rsidP="00FD30A1">
            <w:pPr>
              <w:rPr>
                <w:rFonts w:ascii="Arial" w:hAnsi="Arial" w:cs="Arial"/>
              </w:rPr>
            </w:pPr>
            <w:r w:rsidRPr="001D33E2">
              <w:rPr>
                <w:rFonts w:ascii="Arial" w:hAnsi="Arial" w:cs="Arial"/>
                <w:lang w:val="cy-GB"/>
              </w:rPr>
              <w:t xml:space="preserve">18: </w:t>
            </w:r>
            <w:r w:rsidRPr="001D33E2">
              <w:rPr>
                <w:rFonts w:ascii="Arial" w:hAnsi="Arial" w:cs="Arial"/>
                <w:sz w:val="18"/>
                <w:lang w:val="cy-GB"/>
              </w:rPr>
              <w:t>Celfyddydau, adloniant, hamdden gwasanaethau eraill (R-U)</w:t>
            </w:r>
          </w:p>
        </w:tc>
        <w:tc>
          <w:tcPr>
            <w:tcW w:w="1134" w:type="dxa"/>
            <w:vAlign w:val="bottom"/>
          </w:tcPr>
          <w:p w14:paraId="1BDDE09E" w14:textId="44095F66" w:rsidR="00FD30A1" w:rsidRPr="008C4576" w:rsidRDefault="00FD30A1" w:rsidP="00FD30A1">
            <w:pPr>
              <w:jc w:val="right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4,500</w:t>
            </w:r>
          </w:p>
        </w:tc>
        <w:tc>
          <w:tcPr>
            <w:tcW w:w="1134" w:type="dxa"/>
            <w:vAlign w:val="bottom"/>
          </w:tcPr>
          <w:p w14:paraId="29FED27C" w14:textId="5914924F" w:rsidR="00FD30A1" w:rsidRPr="008C4576" w:rsidRDefault="00FD30A1" w:rsidP="00FD30A1">
            <w:pPr>
              <w:jc w:val="center"/>
              <w:rPr>
                <w:rFonts w:ascii="Arial" w:hAnsi="Arial" w:cs="Arial"/>
              </w:rPr>
            </w:pPr>
            <w:r w:rsidRPr="00880C17">
              <w:rPr>
                <w:rFonts w:ascii="Arial" w:hAnsi="Arial" w:cs="Arial"/>
              </w:rPr>
              <w:t>4.2</w:t>
            </w:r>
          </w:p>
        </w:tc>
        <w:tc>
          <w:tcPr>
            <w:tcW w:w="958" w:type="dxa"/>
            <w:vAlign w:val="bottom"/>
          </w:tcPr>
          <w:p w14:paraId="2FDDA4A8" w14:textId="302F2382" w:rsidR="00FD30A1" w:rsidRPr="008C4576" w:rsidRDefault="00FD30A1" w:rsidP="00FD30A1">
            <w:pPr>
              <w:jc w:val="center"/>
              <w:rPr>
                <w:rFonts w:ascii="Arial" w:hAnsi="Arial" w:cs="Arial"/>
                <w:color w:val="FF0000"/>
              </w:rPr>
            </w:pPr>
            <w:r w:rsidRPr="00880C17">
              <w:rPr>
                <w:rFonts w:ascii="Arial" w:hAnsi="Arial" w:cs="Arial"/>
                <w:color w:val="FF0000"/>
              </w:rPr>
              <w:t>4.2</w:t>
            </w:r>
          </w:p>
        </w:tc>
        <w:tc>
          <w:tcPr>
            <w:tcW w:w="885" w:type="dxa"/>
            <w:vAlign w:val="bottom"/>
          </w:tcPr>
          <w:p w14:paraId="6502910D" w14:textId="7E93D8E2" w:rsidR="00FD30A1" w:rsidRPr="008C4576" w:rsidRDefault="00FD30A1" w:rsidP="00FD30A1">
            <w:pPr>
              <w:jc w:val="center"/>
              <w:rPr>
                <w:rFonts w:ascii="Arial" w:hAnsi="Arial" w:cs="Arial"/>
                <w:color w:val="000066"/>
              </w:rPr>
            </w:pPr>
            <w:r w:rsidRPr="00880C17">
              <w:rPr>
                <w:rFonts w:ascii="Arial" w:hAnsi="Arial" w:cs="Arial"/>
                <w:color w:val="002060"/>
              </w:rPr>
              <w:t>4.5</w:t>
            </w:r>
          </w:p>
        </w:tc>
      </w:tr>
      <w:tr w:rsidR="00FD30A1" w:rsidRPr="0096054E" w14:paraId="2E6F15A5" w14:textId="77777777" w:rsidTr="00FD30A1">
        <w:tc>
          <w:tcPr>
            <w:tcW w:w="5387" w:type="dxa"/>
            <w:vAlign w:val="center"/>
          </w:tcPr>
          <w:p w14:paraId="0A8F994A" w14:textId="77777777" w:rsidR="00FD30A1" w:rsidRPr="001D33E2" w:rsidRDefault="00FD30A1" w:rsidP="00FD30A1">
            <w:pPr>
              <w:rPr>
                <w:rFonts w:ascii="Arial" w:hAnsi="Arial" w:cs="Arial"/>
                <w:b/>
              </w:rPr>
            </w:pPr>
            <w:r w:rsidRPr="001D33E2">
              <w:rPr>
                <w:rFonts w:ascii="Arial" w:hAnsi="Arial" w:cs="Arial"/>
                <w:b/>
                <w:bCs/>
                <w:lang w:val="cy-GB"/>
              </w:rPr>
              <w:t>CYFANSWM</w:t>
            </w:r>
          </w:p>
        </w:tc>
        <w:tc>
          <w:tcPr>
            <w:tcW w:w="1134" w:type="dxa"/>
            <w:vAlign w:val="bottom"/>
          </w:tcPr>
          <w:p w14:paraId="41F86F65" w14:textId="1F4C8F58" w:rsidR="00FD30A1" w:rsidRPr="008C4576" w:rsidRDefault="00FD30A1" w:rsidP="00FD30A1">
            <w:pPr>
              <w:jc w:val="right"/>
              <w:rPr>
                <w:rFonts w:ascii="Arial" w:hAnsi="Arial" w:cs="Arial"/>
                <w:b/>
              </w:rPr>
            </w:pPr>
            <w:r w:rsidRPr="00880C17">
              <w:rPr>
                <w:rFonts w:ascii="Arial" w:hAnsi="Arial" w:cs="Arial"/>
                <w:b/>
                <w:bCs/>
              </w:rPr>
              <w:t>108,000</w:t>
            </w:r>
          </w:p>
        </w:tc>
        <w:tc>
          <w:tcPr>
            <w:tcW w:w="1134" w:type="dxa"/>
            <w:vAlign w:val="bottom"/>
          </w:tcPr>
          <w:p w14:paraId="72D6426A" w14:textId="19C34D17" w:rsidR="00FD30A1" w:rsidRPr="008C4576" w:rsidRDefault="00FD30A1" w:rsidP="00FD30A1">
            <w:pPr>
              <w:jc w:val="center"/>
              <w:rPr>
                <w:rFonts w:ascii="Arial" w:hAnsi="Arial" w:cs="Arial"/>
                <w:bCs/>
              </w:rPr>
            </w:pPr>
            <w:r w:rsidRPr="00880C17">
              <w:rPr>
                <w:rFonts w:ascii="Arial" w:hAnsi="Arial" w:cs="Arial"/>
                <w:b/>
                <w:bCs/>
              </w:rPr>
              <w:t>100.0</w:t>
            </w:r>
          </w:p>
        </w:tc>
        <w:tc>
          <w:tcPr>
            <w:tcW w:w="958" w:type="dxa"/>
            <w:vAlign w:val="center"/>
          </w:tcPr>
          <w:p w14:paraId="20BEDCB6" w14:textId="357323A0" w:rsidR="00FD30A1" w:rsidRPr="008C4576" w:rsidRDefault="00FD30A1" w:rsidP="00FD30A1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880C17">
              <w:rPr>
                <w:rFonts w:ascii="Arial" w:hAnsi="Arial" w:cs="Arial"/>
                <w:iCs/>
                <w:color w:val="FF0000"/>
              </w:rPr>
              <w:t>100</w:t>
            </w:r>
          </w:p>
        </w:tc>
        <w:tc>
          <w:tcPr>
            <w:tcW w:w="885" w:type="dxa"/>
            <w:vAlign w:val="center"/>
          </w:tcPr>
          <w:p w14:paraId="552603DD" w14:textId="037B3EE8" w:rsidR="00FD30A1" w:rsidRPr="008C4576" w:rsidRDefault="00FD30A1" w:rsidP="00FD30A1">
            <w:pPr>
              <w:jc w:val="center"/>
              <w:rPr>
                <w:rFonts w:ascii="Arial" w:hAnsi="Arial" w:cs="Arial"/>
                <w:iCs/>
                <w:color w:val="000080"/>
              </w:rPr>
            </w:pPr>
            <w:r w:rsidRPr="00880C17">
              <w:rPr>
                <w:rFonts w:ascii="Arial" w:hAnsi="Arial" w:cs="Arial"/>
                <w:iCs/>
                <w:color w:val="000080"/>
              </w:rPr>
              <w:t>100</w:t>
            </w:r>
          </w:p>
        </w:tc>
      </w:tr>
    </w:tbl>
    <w:p w14:paraId="66913529" w14:textId="77777777" w:rsidR="004F2EBB" w:rsidRPr="00880C17" w:rsidRDefault="004F2EBB" w:rsidP="004F2EBB">
      <w:pPr>
        <w:rPr>
          <w:rFonts w:ascii="Arial" w:hAnsi="Arial"/>
          <w:i/>
          <w:sz w:val="16"/>
          <w:szCs w:val="16"/>
        </w:rPr>
      </w:pPr>
      <w:proofErr w:type="spellStart"/>
      <w:r w:rsidRPr="00880C17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880C17">
        <w:rPr>
          <w:rFonts w:ascii="Arial" w:hAnsi="Arial"/>
          <w:i/>
          <w:sz w:val="16"/>
          <w:szCs w:val="16"/>
        </w:rPr>
        <w:t>Dadansoddiad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o </w:t>
      </w:r>
      <w:proofErr w:type="spellStart"/>
      <w:r w:rsidRPr="00880C17">
        <w:rPr>
          <w:rFonts w:ascii="Arial" w:hAnsi="Arial"/>
          <w:i/>
          <w:sz w:val="16"/>
          <w:szCs w:val="16"/>
        </w:rPr>
        <w:t>gyflogaeth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80C17">
        <w:rPr>
          <w:rFonts w:ascii="Arial" w:hAnsi="Arial"/>
          <w:i/>
          <w:sz w:val="16"/>
          <w:szCs w:val="16"/>
        </w:rPr>
        <w:t>yn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880C17">
        <w:rPr>
          <w:rFonts w:ascii="Arial" w:hAnsi="Arial"/>
          <w:i/>
          <w:sz w:val="16"/>
          <w:szCs w:val="16"/>
        </w:rPr>
        <w:t>gweithle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80C17">
        <w:rPr>
          <w:rFonts w:ascii="Arial" w:hAnsi="Arial"/>
          <w:i/>
          <w:sz w:val="16"/>
          <w:szCs w:val="16"/>
        </w:rPr>
        <w:t>Cofrestr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80C17">
        <w:rPr>
          <w:rFonts w:ascii="Arial" w:hAnsi="Arial"/>
          <w:i/>
          <w:sz w:val="16"/>
          <w:szCs w:val="16"/>
        </w:rPr>
        <w:t>Busnes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ac </w:t>
      </w:r>
      <w:proofErr w:type="spellStart"/>
      <w:r w:rsidRPr="00880C17">
        <w:rPr>
          <w:rFonts w:ascii="Arial" w:hAnsi="Arial"/>
          <w:i/>
          <w:sz w:val="16"/>
          <w:szCs w:val="16"/>
        </w:rPr>
        <w:t>Arolwg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80C17">
        <w:rPr>
          <w:rFonts w:ascii="Arial" w:hAnsi="Arial"/>
          <w:i/>
          <w:sz w:val="16"/>
          <w:szCs w:val="16"/>
        </w:rPr>
        <w:t>Cyflogaeth</w:t>
      </w:r>
      <w:proofErr w:type="spellEnd"/>
      <w:r w:rsidRPr="00880C17">
        <w:rPr>
          <w:rFonts w:ascii="Arial" w:hAnsi="Arial"/>
          <w:i/>
          <w:sz w:val="16"/>
          <w:szCs w:val="16"/>
        </w:rPr>
        <w:t xml:space="preserve"> y DU (BRES), 2023. SYG.</w:t>
      </w:r>
    </w:p>
    <w:p w14:paraId="6BB156E2" w14:textId="77777777" w:rsidR="004F2EBB" w:rsidRPr="00880C17" w:rsidRDefault="004F2EBB" w:rsidP="004F2EBB">
      <w:pPr>
        <w:ind w:left="-284"/>
        <w:rPr>
          <w:rFonts w:ascii="Arial" w:hAnsi="Arial"/>
          <w:sz w:val="16"/>
          <w:szCs w:val="16"/>
        </w:rPr>
      </w:pPr>
    </w:p>
    <w:p w14:paraId="0D5F1903" w14:textId="77777777" w:rsidR="004F2EBB" w:rsidRPr="00880C17" w:rsidRDefault="004F2EBB" w:rsidP="004F2EBB">
      <w:pPr>
        <w:rPr>
          <w:rFonts w:ascii="Arial" w:hAnsi="Arial"/>
          <w:color w:val="800000"/>
          <w:sz w:val="16"/>
          <w:szCs w:val="16"/>
        </w:rPr>
      </w:pPr>
      <w:proofErr w:type="spellStart"/>
      <w:r w:rsidRPr="00880C17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880C17">
        <w:rPr>
          <w:rFonts w:ascii="Arial" w:hAnsi="Arial"/>
          <w:color w:val="800000"/>
          <w:sz w:val="16"/>
          <w:szCs w:val="16"/>
        </w:rPr>
        <w:t>:</w:t>
      </w:r>
    </w:p>
    <w:p w14:paraId="144F33C7" w14:textId="77777777" w:rsidR="004F2EBB" w:rsidRPr="00880C17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Gofrestr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a'r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Arolwg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Cyflogaeth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(BRES)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darparu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data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nifer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gweithwyr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y DU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sectorau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cyhoeddus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phreifat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sy'n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gweithio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amser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llawn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rhan-amser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lefelau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diwydiannol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daearyddol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manwl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.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Fe'i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hystyrir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ffynhonnell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ddiamod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swyddogol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am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weithwyr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ôl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diwydiant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ddefnyddio’r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Dosbarthiad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Diwydiannol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Safonol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(SIC) 2007.</w:t>
      </w:r>
    </w:p>
    <w:p w14:paraId="3D8208CC" w14:textId="77777777" w:rsidR="004F2EBB" w:rsidRPr="00880C17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arolwg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2023,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samplwyd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rhyw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85,000 o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fusnesau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ym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Mhrydain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Fawr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o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Gofrestr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Rhyngadrannol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(IDBR) yr SYG – y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brif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ffrâm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samplu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ddefnyddir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arolygon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yr SYG. Y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gyfradd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ymateb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oedd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83.3%.</w:t>
      </w:r>
    </w:p>
    <w:p w14:paraId="40985A18" w14:textId="77777777" w:rsidR="004F2EBB" w:rsidRPr="00880C17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Cyhoeddwyd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data BRES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2023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4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Tachwedd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2024. 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data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cychwynnol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ddata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dros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dro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ac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fe'i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cyhoeddir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fel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arfer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12 mis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ôl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cyfnod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cyfeirio'r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arolwg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gyda'r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canlyniadau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diwygiedig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cael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eu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cyhoeddi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ôl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24 mis.</w:t>
      </w:r>
    </w:p>
    <w:p w14:paraId="2FC51859" w14:textId="77777777" w:rsidR="004F2EBB" w:rsidRPr="00880C17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r w:rsidRPr="00880C17">
        <w:rPr>
          <w:rFonts w:ascii="Arial" w:hAnsi="Arial" w:cs="Arial"/>
          <w:color w:val="800000"/>
          <w:sz w:val="16"/>
          <w:szCs w:val="16"/>
        </w:rPr>
        <w:t xml:space="preserve">Mae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diffyg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parhad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nata BRES o 2015, o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ganlyniad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gynnwys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sy'n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PAYE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880C17">
        <w:rPr>
          <w:rFonts w:ascii="Arial" w:hAnsi="Arial" w:cs="Arial"/>
          <w:color w:val="800000"/>
          <w:sz w:val="16"/>
          <w:szCs w:val="16"/>
        </w:rPr>
        <w:t>unig</w:t>
      </w:r>
      <w:proofErr w:type="spellEnd"/>
      <w:r w:rsidRPr="00880C17">
        <w:rPr>
          <w:rFonts w:ascii="Arial" w:hAnsi="Arial" w:cs="Arial"/>
          <w:color w:val="800000"/>
          <w:sz w:val="16"/>
          <w:szCs w:val="16"/>
        </w:rPr>
        <w:t xml:space="preserve">.  </w:t>
      </w:r>
    </w:p>
    <w:p w14:paraId="3743C8B4" w14:textId="77777777" w:rsidR="004F2EBB" w:rsidRPr="001D33E2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Nid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yw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amcangyfrifon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cyflogaeth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y sector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cyhoeddus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(a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phreifat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)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wedi'u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diffinio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sail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SICau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unig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.   Yn yr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arolwg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diffinnir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pob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neu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sefydliad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fel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un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sydd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y sector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cyhoeddus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neu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breifat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hytrach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na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chan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ei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gôd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SIC.</w:t>
      </w:r>
    </w:p>
    <w:p w14:paraId="0AF8EEC2" w14:textId="3E7767F9" w:rsidR="001615E1" w:rsidRPr="001D33E2" w:rsidRDefault="004F2EBB" w:rsidP="004F2EBB">
      <w:pPr>
        <w:numPr>
          <w:ilvl w:val="0"/>
          <w:numId w:val="1"/>
        </w:numPr>
        <w:ind w:left="426" w:right="170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Mae'n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bosib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na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fydd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cyfansymiau'n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symio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oherwydd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talgrynnu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. 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tabl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uchod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cynnwys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ffigurau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o set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ddata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'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mynediad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1D33E2">
        <w:rPr>
          <w:rFonts w:ascii="Arial" w:hAnsi="Arial" w:cs="Arial"/>
          <w:color w:val="800000"/>
          <w:sz w:val="16"/>
          <w:szCs w:val="16"/>
        </w:rPr>
        <w:t>agored</w:t>
      </w:r>
      <w:proofErr w:type="spellEnd"/>
      <w:r w:rsidRPr="001D33E2">
        <w:rPr>
          <w:rFonts w:ascii="Arial" w:hAnsi="Arial" w:cs="Arial"/>
          <w:color w:val="800000"/>
          <w:sz w:val="16"/>
          <w:szCs w:val="16"/>
        </w:rPr>
        <w:t>' y BRES</w:t>
      </w:r>
      <w:r w:rsidR="001615E1" w:rsidRPr="001D33E2">
        <w:rPr>
          <w:rFonts w:ascii="Arial" w:hAnsi="Arial" w:cs="Arial"/>
          <w:color w:val="800000"/>
          <w:sz w:val="16"/>
          <w:szCs w:val="16"/>
        </w:rPr>
        <w:t>.</w:t>
      </w:r>
    </w:p>
    <w:p w14:paraId="0AEC4612" w14:textId="77777777" w:rsidR="005D6B6D" w:rsidRDefault="005D6B6D"/>
    <w:sectPr w:rsidR="005D6B6D" w:rsidSect="001615E1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06E"/>
    <w:multiLevelType w:val="hybridMultilevel"/>
    <w:tmpl w:val="70503660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5174560">
    <w:abstractNumId w:val="0"/>
  </w:num>
  <w:num w:numId="2" w16cid:durableId="16752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E1"/>
    <w:rsid w:val="000A0D49"/>
    <w:rsid w:val="001615E1"/>
    <w:rsid w:val="004F2EBB"/>
    <w:rsid w:val="005D6B6D"/>
    <w:rsid w:val="0093000E"/>
    <w:rsid w:val="00B42430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A38F"/>
  <w15:chartTrackingRefBased/>
  <w15:docId w15:val="{1FC5D6AD-B015-47C7-83C8-D2A2D08E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7A939-1957-4FD6-B1DF-6CE22286D2A7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53FC15C8-B03F-427A-9FD5-18D815E53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A95AB-8ACD-4B96-B0A4-B58CCDA7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5</cp:revision>
  <dcterms:created xsi:type="dcterms:W3CDTF">2024-02-02T09:25:00Z</dcterms:created>
  <dcterms:modified xsi:type="dcterms:W3CDTF">2024-11-27T14:01:00Z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