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D591" w14:textId="77777777" w:rsidR="00561CE6" w:rsidRPr="00561CE6" w:rsidRDefault="00561CE6" w:rsidP="00561CE6">
      <w:pPr>
        <w:jc w:val="both"/>
        <w:rPr>
          <w:rFonts w:ascii="Arial" w:hAnsi="Arial" w:cs="Arial"/>
          <w:b/>
          <w:sz w:val="24"/>
          <w:szCs w:val="24"/>
        </w:rPr>
      </w:pPr>
      <w:r w:rsidRPr="00561CE6">
        <w:rPr>
          <w:rFonts w:ascii="Arial" w:hAnsi="Arial" w:cs="Arial"/>
          <w:b/>
          <w:sz w:val="24"/>
          <w:szCs w:val="24"/>
        </w:rPr>
        <w:t>Table 5 Unemployment</w:t>
      </w:r>
    </w:p>
    <w:p w14:paraId="6DCE0420" w14:textId="77777777" w:rsidR="00561CE6" w:rsidRPr="00667FDC" w:rsidRDefault="00561CE6" w:rsidP="00561CE6">
      <w:pPr>
        <w:ind w:left="-142"/>
        <w:jc w:val="both"/>
        <w:rPr>
          <w:rFonts w:asciiTheme="minorHAnsi" w:hAnsiTheme="minorHAnsi" w:cstheme="minorHAnsi"/>
          <w:sz w:val="14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34"/>
        <w:gridCol w:w="1304"/>
        <w:gridCol w:w="1219"/>
        <w:gridCol w:w="1219"/>
        <w:gridCol w:w="1219"/>
      </w:tblGrid>
      <w:tr w:rsidR="00A15EA9" w:rsidRPr="00667FDC" w14:paraId="4038DD17" w14:textId="77777777" w:rsidTr="00304F0D">
        <w:tc>
          <w:tcPr>
            <w:tcW w:w="34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68ED0B" w14:textId="77777777" w:rsidR="00A15EA9" w:rsidRPr="00667FDC" w:rsidRDefault="00A15EA9" w:rsidP="00304F0D">
            <w:pPr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>Unemployment measure: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5A8F3E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>Month/ period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18362BF8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 xml:space="preserve">Swansea </w:t>
            </w:r>
            <w:r w:rsidRPr="00667FDC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667FDC">
              <w:rPr>
                <w:rFonts w:ascii="Arial" w:hAnsi="Arial" w:cs="Arial"/>
                <w:i/>
                <w:sz w:val="16"/>
                <w:szCs w:val="18"/>
              </w:rPr>
              <w:t>(change)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714198E4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b/>
              </w:rPr>
            </w:pPr>
            <w:r w:rsidRPr="00667FDC">
              <w:rPr>
                <w:rFonts w:ascii="Arial" w:hAnsi="Arial" w:cs="Arial"/>
                <w:b/>
              </w:rPr>
              <w:t>Swansea</w:t>
            </w:r>
          </w:p>
          <w:p w14:paraId="7C934DD3" w14:textId="77777777" w:rsidR="00A15EA9" w:rsidRPr="00667FDC" w:rsidRDefault="00A15EA9" w:rsidP="00304F0D">
            <w:pPr>
              <w:jc w:val="center"/>
              <w:rPr>
                <w:rFonts w:ascii="Arial" w:hAnsi="Arial" w:cs="Arial"/>
              </w:rPr>
            </w:pPr>
            <w:r w:rsidRPr="00667FDC">
              <w:rPr>
                <w:rFonts w:ascii="Arial" w:hAnsi="Arial" w:cs="Arial"/>
                <w:sz w:val="18"/>
              </w:rPr>
              <w:t xml:space="preserve">Rate </w:t>
            </w:r>
            <w:r w:rsidRPr="00667FDC">
              <w:rPr>
                <w:rFonts w:ascii="Arial" w:hAnsi="Arial" w:cs="Arial"/>
                <w:i/>
                <w:sz w:val="16"/>
              </w:rPr>
              <w:t>(%-</w:t>
            </w:r>
            <w:proofErr w:type="spellStart"/>
            <w:r w:rsidRPr="00667FDC">
              <w:rPr>
                <w:rFonts w:ascii="Arial" w:hAnsi="Arial" w:cs="Arial"/>
                <w:i/>
                <w:sz w:val="16"/>
              </w:rPr>
              <w:t>ch.</w:t>
            </w:r>
            <w:proofErr w:type="spellEnd"/>
            <w:r w:rsidRPr="00667FDC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3A1D802E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7FDC">
              <w:rPr>
                <w:rFonts w:ascii="Arial" w:hAnsi="Arial" w:cs="Arial"/>
                <w:b/>
                <w:color w:val="FF0000"/>
              </w:rPr>
              <w:t>Wales</w:t>
            </w:r>
          </w:p>
          <w:p w14:paraId="18CB272D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color w:val="FF0000"/>
              </w:rPr>
            </w:pPr>
            <w:r w:rsidRPr="00667FDC">
              <w:rPr>
                <w:rFonts w:ascii="Arial" w:hAnsi="Arial" w:cs="Arial"/>
                <w:color w:val="FF0000"/>
                <w:sz w:val="18"/>
              </w:rPr>
              <w:t xml:space="preserve">Rate </w:t>
            </w:r>
            <w:r w:rsidRPr="00667FDC">
              <w:rPr>
                <w:rFonts w:ascii="Arial" w:hAnsi="Arial" w:cs="Arial"/>
                <w:i/>
                <w:color w:val="FF0000"/>
                <w:sz w:val="16"/>
              </w:rPr>
              <w:t>(%-</w:t>
            </w:r>
            <w:proofErr w:type="spellStart"/>
            <w:r w:rsidRPr="00667FDC">
              <w:rPr>
                <w:rFonts w:ascii="Arial" w:hAnsi="Arial" w:cs="Arial"/>
                <w:i/>
                <w:color w:val="FF0000"/>
                <w:sz w:val="16"/>
              </w:rPr>
              <w:t>ch.</w:t>
            </w:r>
            <w:proofErr w:type="spellEnd"/>
            <w:r w:rsidRPr="00667FDC">
              <w:rPr>
                <w:rFonts w:ascii="Arial" w:hAnsi="Arial" w:cs="Arial"/>
                <w:i/>
                <w:color w:val="FF0000"/>
                <w:sz w:val="16"/>
              </w:rPr>
              <w:t>)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44AAA13F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667FDC">
              <w:rPr>
                <w:rFonts w:ascii="Arial" w:hAnsi="Arial" w:cs="Arial"/>
                <w:b/>
                <w:color w:val="000080"/>
              </w:rPr>
              <w:t>UK</w:t>
            </w:r>
          </w:p>
          <w:p w14:paraId="60F8B4B1" w14:textId="77777777" w:rsidR="00A15EA9" w:rsidRPr="00667FDC" w:rsidRDefault="00A15EA9" w:rsidP="00304F0D">
            <w:pPr>
              <w:jc w:val="center"/>
              <w:rPr>
                <w:rFonts w:ascii="Arial" w:hAnsi="Arial" w:cs="Arial"/>
                <w:color w:val="000080"/>
              </w:rPr>
            </w:pPr>
            <w:r w:rsidRPr="00667FDC">
              <w:rPr>
                <w:rFonts w:ascii="Arial" w:hAnsi="Arial" w:cs="Arial"/>
                <w:color w:val="000080"/>
                <w:sz w:val="18"/>
              </w:rPr>
              <w:t xml:space="preserve">Rate </w:t>
            </w:r>
            <w:r w:rsidRPr="00667FDC">
              <w:rPr>
                <w:rFonts w:ascii="Arial" w:hAnsi="Arial" w:cs="Arial"/>
                <w:i/>
                <w:color w:val="000080"/>
                <w:sz w:val="16"/>
              </w:rPr>
              <w:t>(%-</w:t>
            </w:r>
            <w:proofErr w:type="spellStart"/>
            <w:r w:rsidRPr="00667FDC">
              <w:rPr>
                <w:rFonts w:ascii="Arial" w:hAnsi="Arial" w:cs="Arial"/>
                <w:i/>
                <w:color w:val="000080"/>
                <w:sz w:val="16"/>
              </w:rPr>
              <w:t>ch.</w:t>
            </w:r>
            <w:proofErr w:type="spellEnd"/>
            <w:r w:rsidRPr="00667FDC">
              <w:rPr>
                <w:rFonts w:ascii="Arial" w:hAnsi="Arial" w:cs="Arial"/>
                <w:i/>
                <w:color w:val="000080"/>
                <w:sz w:val="16"/>
              </w:rPr>
              <w:t>)</w:t>
            </w:r>
          </w:p>
        </w:tc>
      </w:tr>
      <w:tr w:rsidR="005008E6" w:rsidRPr="00667FDC" w14:paraId="1C862FA0" w14:textId="77777777" w:rsidTr="00304F0D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60869FAF" w14:textId="00D4ACB2" w:rsidR="005008E6" w:rsidRPr="00667FDC" w:rsidRDefault="005008E6" w:rsidP="005008E6">
            <w:pPr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 xml:space="preserve">Claimant Count </w:t>
            </w:r>
            <w:r w:rsidRPr="00B75E68">
              <w:rPr>
                <w:rFonts w:ascii="Arial" w:hAnsi="Arial" w:cs="Arial"/>
                <w:sz w:val="18"/>
                <w:szCs w:val="18"/>
              </w:rPr>
              <w:t>(</w:t>
            </w:r>
            <w:r w:rsidRPr="00B75E68">
              <w:rPr>
                <w:rFonts w:ascii="Arial" w:hAnsi="Arial" w:cs="Arial"/>
                <w:b/>
                <w:sz w:val="18"/>
                <w:szCs w:val="18"/>
              </w:rPr>
              <w:t>unadjusted</w:t>
            </w:r>
            <w:r w:rsidRPr="00B75E6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A8DEBB" w14:textId="4F7758AA" w:rsidR="005008E6" w:rsidRPr="00667FDC" w:rsidRDefault="005008E6" w:rsidP="005008E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Oct 2025</w:t>
            </w:r>
          </w:p>
        </w:tc>
        <w:tc>
          <w:tcPr>
            <w:tcW w:w="1304" w:type="dxa"/>
            <w:vAlign w:val="center"/>
          </w:tcPr>
          <w:p w14:paraId="147583D4" w14:textId="5089C434" w:rsidR="005008E6" w:rsidRPr="00667FDC" w:rsidRDefault="005008E6" w:rsidP="005008E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5,220</w:t>
            </w:r>
          </w:p>
        </w:tc>
        <w:tc>
          <w:tcPr>
            <w:tcW w:w="1219" w:type="dxa"/>
            <w:vAlign w:val="center"/>
          </w:tcPr>
          <w:p w14:paraId="7B4F11F6" w14:textId="2F77D443" w:rsidR="005008E6" w:rsidRPr="00667FDC" w:rsidRDefault="005008E6" w:rsidP="005008E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3.4%</w:t>
            </w:r>
          </w:p>
        </w:tc>
        <w:tc>
          <w:tcPr>
            <w:tcW w:w="1219" w:type="dxa"/>
            <w:vAlign w:val="center"/>
          </w:tcPr>
          <w:p w14:paraId="2371022E" w14:textId="400147F4" w:rsidR="005008E6" w:rsidRPr="00667FDC" w:rsidRDefault="005008E6" w:rsidP="005008E6">
            <w:pPr>
              <w:jc w:val="center"/>
              <w:rPr>
                <w:rFonts w:ascii="Arial" w:hAnsi="Arial" w:cs="Arial"/>
                <w:color w:val="FF0000"/>
              </w:rPr>
            </w:pPr>
            <w:r w:rsidRPr="00B75E68">
              <w:rPr>
                <w:rFonts w:ascii="Arial" w:hAnsi="Arial" w:cs="Arial"/>
                <w:color w:val="FF0000"/>
              </w:rPr>
              <w:t>3.3%</w:t>
            </w:r>
          </w:p>
        </w:tc>
        <w:tc>
          <w:tcPr>
            <w:tcW w:w="1219" w:type="dxa"/>
            <w:vAlign w:val="center"/>
          </w:tcPr>
          <w:p w14:paraId="416D6345" w14:textId="7CDE857E" w:rsidR="005008E6" w:rsidRPr="00435B03" w:rsidRDefault="005008E6" w:rsidP="005008E6">
            <w:pPr>
              <w:jc w:val="center"/>
              <w:rPr>
                <w:rFonts w:ascii="Arial" w:hAnsi="Arial" w:cs="Arial"/>
                <w:color w:val="000080"/>
              </w:rPr>
            </w:pPr>
            <w:r w:rsidRPr="00B75E68">
              <w:rPr>
                <w:rFonts w:ascii="Arial" w:hAnsi="Arial" w:cs="Arial"/>
                <w:color w:val="000080"/>
              </w:rPr>
              <w:t>4.0%</w:t>
            </w:r>
          </w:p>
        </w:tc>
      </w:tr>
      <w:tr w:rsidR="005008E6" w:rsidRPr="00667FDC" w14:paraId="048127B5" w14:textId="77777777" w:rsidTr="00304F0D">
        <w:tc>
          <w:tcPr>
            <w:tcW w:w="4537" w:type="dxa"/>
            <w:gridSpan w:val="2"/>
            <w:vAlign w:val="center"/>
          </w:tcPr>
          <w:p w14:paraId="62DDD3A1" w14:textId="3BC75897" w:rsidR="005008E6" w:rsidRPr="00667FDC" w:rsidRDefault="005008E6" w:rsidP="005008E6">
            <w:pPr>
              <w:jc w:val="right"/>
              <w:rPr>
                <w:rFonts w:ascii="Arial" w:hAnsi="Arial" w:cs="Arial"/>
                <w:i/>
              </w:rPr>
            </w:pPr>
            <w:r w:rsidRPr="00B75E68">
              <w:rPr>
                <w:rFonts w:ascii="Arial" w:hAnsi="Arial" w:cs="Arial"/>
                <w:i/>
              </w:rPr>
              <w:t>Change on quarter (Jul25 – Oct25)</w:t>
            </w:r>
          </w:p>
        </w:tc>
        <w:tc>
          <w:tcPr>
            <w:tcW w:w="1304" w:type="dxa"/>
            <w:vAlign w:val="center"/>
          </w:tcPr>
          <w:p w14:paraId="730CC4C4" w14:textId="7D38B8A1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(+145)</w:t>
            </w:r>
          </w:p>
        </w:tc>
        <w:tc>
          <w:tcPr>
            <w:tcW w:w="1219" w:type="dxa"/>
            <w:vAlign w:val="center"/>
          </w:tcPr>
          <w:p w14:paraId="4BE58804" w14:textId="71070F9A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(+2.9%)</w:t>
            </w:r>
          </w:p>
        </w:tc>
        <w:tc>
          <w:tcPr>
            <w:tcW w:w="1219" w:type="dxa"/>
            <w:vAlign w:val="center"/>
          </w:tcPr>
          <w:p w14:paraId="3F9FE230" w14:textId="7434579F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B75E68">
              <w:rPr>
                <w:rFonts w:ascii="Arial" w:hAnsi="Arial" w:cs="Arial"/>
                <w:i/>
                <w:color w:val="FF0000"/>
                <w:sz w:val="18"/>
              </w:rPr>
              <w:t>(+3.0%)</w:t>
            </w:r>
          </w:p>
        </w:tc>
        <w:tc>
          <w:tcPr>
            <w:tcW w:w="1219" w:type="dxa"/>
            <w:vAlign w:val="center"/>
          </w:tcPr>
          <w:p w14:paraId="73B51204" w14:textId="35CB12FF" w:rsidR="005008E6" w:rsidRPr="00435B03" w:rsidRDefault="005008E6" w:rsidP="005008E6">
            <w:pPr>
              <w:jc w:val="center"/>
              <w:rPr>
                <w:rFonts w:ascii="Arial" w:hAnsi="Arial" w:cs="Arial"/>
                <w:i/>
                <w:color w:val="000080"/>
                <w:sz w:val="18"/>
              </w:rPr>
            </w:pPr>
            <w:r w:rsidRPr="00B75E68">
              <w:rPr>
                <w:rFonts w:ascii="Arial" w:hAnsi="Arial" w:cs="Arial"/>
                <w:i/>
                <w:color w:val="000080"/>
                <w:sz w:val="18"/>
              </w:rPr>
              <w:t>(+1.4%)</w:t>
            </w:r>
          </w:p>
        </w:tc>
      </w:tr>
      <w:tr w:rsidR="005008E6" w:rsidRPr="00667FDC" w14:paraId="2E76CEE6" w14:textId="77777777" w:rsidTr="00304F0D"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69DCEECB" w14:textId="2870A45D" w:rsidR="005008E6" w:rsidRPr="00667FDC" w:rsidRDefault="005008E6" w:rsidP="005008E6">
            <w:pPr>
              <w:jc w:val="right"/>
              <w:rPr>
                <w:rFonts w:ascii="Arial" w:hAnsi="Arial" w:cs="Arial"/>
                <w:i/>
              </w:rPr>
            </w:pPr>
            <w:r w:rsidRPr="00B75E68">
              <w:rPr>
                <w:rFonts w:ascii="Arial" w:hAnsi="Arial" w:cs="Arial"/>
                <w:i/>
              </w:rPr>
              <w:t>Change on year (Oct24 – Oct25)</w:t>
            </w:r>
          </w:p>
        </w:tc>
        <w:tc>
          <w:tcPr>
            <w:tcW w:w="1304" w:type="dxa"/>
            <w:vAlign w:val="center"/>
          </w:tcPr>
          <w:p w14:paraId="5BC1C9BF" w14:textId="31380BF3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(-160)</w:t>
            </w:r>
          </w:p>
        </w:tc>
        <w:tc>
          <w:tcPr>
            <w:tcW w:w="1219" w:type="dxa"/>
            <w:vAlign w:val="center"/>
          </w:tcPr>
          <w:p w14:paraId="346582B9" w14:textId="01ADFB6F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(-3.0%)</w:t>
            </w:r>
          </w:p>
        </w:tc>
        <w:tc>
          <w:tcPr>
            <w:tcW w:w="1219" w:type="dxa"/>
            <w:vAlign w:val="center"/>
          </w:tcPr>
          <w:p w14:paraId="3554C0FC" w14:textId="58B959E1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B75E68">
              <w:rPr>
                <w:rFonts w:ascii="Arial" w:hAnsi="Arial" w:cs="Arial"/>
                <w:i/>
                <w:color w:val="FF0000"/>
                <w:sz w:val="18"/>
              </w:rPr>
              <w:t>(-3.4%)</w:t>
            </w:r>
          </w:p>
        </w:tc>
        <w:tc>
          <w:tcPr>
            <w:tcW w:w="1219" w:type="dxa"/>
            <w:vAlign w:val="center"/>
          </w:tcPr>
          <w:p w14:paraId="0F7C4BDB" w14:textId="4C0E6E94" w:rsidR="005008E6" w:rsidRPr="00435B03" w:rsidRDefault="005008E6" w:rsidP="005008E6">
            <w:pPr>
              <w:jc w:val="center"/>
              <w:rPr>
                <w:rFonts w:ascii="Arial" w:hAnsi="Arial" w:cs="Arial"/>
                <w:i/>
                <w:color w:val="000080"/>
                <w:sz w:val="18"/>
              </w:rPr>
            </w:pPr>
            <w:r w:rsidRPr="00B75E68">
              <w:rPr>
                <w:rFonts w:ascii="Arial" w:hAnsi="Arial" w:cs="Arial"/>
                <w:i/>
                <w:color w:val="000080"/>
                <w:sz w:val="18"/>
              </w:rPr>
              <w:t>(-3.6%)</w:t>
            </w:r>
          </w:p>
        </w:tc>
      </w:tr>
      <w:tr w:rsidR="005008E6" w:rsidRPr="00667FDC" w14:paraId="4990DADD" w14:textId="77777777" w:rsidTr="00304F0D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EEC2C31" w14:textId="1DB94F38" w:rsidR="005008E6" w:rsidRPr="00667FDC" w:rsidRDefault="005008E6" w:rsidP="005008E6">
            <w:pPr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 xml:space="preserve">Unemployment </w:t>
            </w:r>
            <w:r w:rsidRPr="00B75E68">
              <w:rPr>
                <w:rFonts w:ascii="Arial" w:hAnsi="Arial" w:cs="Arial"/>
                <w:sz w:val="18"/>
                <w:szCs w:val="18"/>
              </w:rPr>
              <w:t>(</w:t>
            </w:r>
            <w:r w:rsidRPr="00B75E68">
              <w:rPr>
                <w:rFonts w:ascii="Arial" w:hAnsi="Arial" w:cs="Arial"/>
                <w:b/>
                <w:sz w:val="18"/>
                <w:szCs w:val="18"/>
              </w:rPr>
              <w:t xml:space="preserve">model-based </w:t>
            </w:r>
            <w:r w:rsidRPr="00B75E68">
              <w:rPr>
                <w:rFonts w:ascii="Arial" w:hAnsi="Arial" w:cs="Arial"/>
                <w:sz w:val="18"/>
                <w:szCs w:val="18"/>
              </w:rPr>
              <w:t>est.)</w:t>
            </w:r>
            <w:r w:rsidRPr="00B75E6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681716" w14:textId="2DA3C2D6" w:rsidR="005008E6" w:rsidRPr="00667FDC" w:rsidRDefault="005008E6" w:rsidP="005008E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Jun 2025</w:t>
            </w:r>
          </w:p>
        </w:tc>
        <w:tc>
          <w:tcPr>
            <w:tcW w:w="1304" w:type="dxa"/>
            <w:vAlign w:val="center"/>
          </w:tcPr>
          <w:p w14:paraId="654A852D" w14:textId="1E26E22F" w:rsidR="005008E6" w:rsidRPr="00667FDC" w:rsidRDefault="005008E6" w:rsidP="005008E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6,900</w:t>
            </w:r>
          </w:p>
        </w:tc>
        <w:tc>
          <w:tcPr>
            <w:tcW w:w="1219" w:type="dxa"/>
            <w:vAlign w:val="center"/>
          </w:tcPr>
          <w:p w14:paraId="76E3F58C" w14:textId="6172CD68" w:rsidR="005008E6" w:rsidRPr="00667FDC" w:rsidRDefault="005008E6" w:rsidP="005008E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5.9%</w:t>
            </w:r>
          </w:p>
        </w:tc>
        <w:tc>
          <w:tcPr>
            <w:tcW w:w="1219" w:type="dxa"/>
            <w:vAlign w:val="center"/>
          </w:tcPr>
          <w:p w14:paraId="224FF2C6" w14:textId="67490C95" w:rsidR="005008E6" w:rsidRPr="00667FDC" w:rsidRDefault="005008E6" w:rsidP="005008E6">
            <w:pPr>
              <w:jc w:val="center"/>
              <w:rPr>
                <w:rFonts w:ascii="Arial" w:hAnsi="Arial" w:cs="Arial"/>
                <w:color w:val="FF0000"/>
              </w:rPr>
            </w:pPr>
            <w:r w:rsidRPr="00B75E68">
              <w:rPr>
                <w:rFonts w:ascii="Arial" w:hAnsi="Arial" w:cs="Arial"/>
                <w:color w:val="FF0000"/>
              </w:rPr>
              <w:t>4.1%</w:t>
            </w:r>
          </w:p>
        </w:tc>
        <w:tc>
          <w:tcPr>
            <w:tcW w:w="1219" w:type="dxa"/>
            <w:vAlign w:val="center"/>
          </w:tcPr>
          <w:p w14:paraId="70215398" w14:textId="2DE89236" w:rsidR="005008E6" w:rsidRPr="00435B03" w:rsidRDefault="005008E6" w:rsidP="005008E6">
            <w:pPr>
              <w:jc w:val="center"/>
              <w:rPr>
                <w:rFonts w:ascii="Arial" w:hAnsi="Arial" w:cs="Arial"/>
                <w:color w:val="000080"/>
              </w:rPr>
            </w:pPr>
            <w:r w:rsidRPr="00B75E68">
              <w:rPr>
                <w:rFonts w:ascii="Arial" w:hAnsi="Arial" w:cs="Arial"/>
                <w:color w:val="000080"/>
              </w:rPr>
              <w:t>4.0%</w:t>
            </w:r>
          </w:p>
        </w:tc>
      </w:tr>
      <w:tr w:rsidR="005008E6" w:rsidRPr="00667FDC" w14:paraId="1F72AE4B" w14:textId="77777777" w:rsidTr="00304F0D">
        <w:tc>
          <w:tcPr>
            <w:tcW w:w="4537" w:type="dxa"/>
            <w:gridSpan w:val="2"/>
            <w:vAlign w:val="center"/>
          </w:tcPr>
          <w:p w14:paraId="552938CF" w14:textId="36FC362F" w:rsidR="005008E6" w:rsidRPr="00667FDC" w:rsidRDefault="005008E6" w:rsidP="005008E6">
            <w:pPr>
              <w:jc w:val="right"/>
              <w:rPr>
                <w:rFonts w:ascii="Arial" w:hAnsi="Arial" w:cs="Arial"/>
                <w:i/>
              </w:rPr>
            </w:pPr>
            <w:r w:rsidRPr="00B75E68">
              <w:rPr>
                <w:rFonts w:ascii="Arial" w:hAnsi="Arial" w:cs="Arial"/>
                <w:i/>
              </w:rPr>
              <w:t>Change on year (y/e Jun24 – y/e Jun25)</w:t>
            </w:r>
          </w:p>
        </w:tc>
        <w:tc>
          <w:tcPr>
            <w:tcW w:w="1304" w:type="dxa"/>
            <w:vAlign w:val="center"/>
          </w:tcPr>
          <w:p w14:paraId="297545F3" w14:textId="0B888653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(+2,700)</w:t>
            </w:r>
          </w:p>
        </w:tc>
        <w:tc>
          <w:tcPr>
            <w:tcW w:w="1219" w:type="dxa"/>
            <w:vAlign w:val="center"/>
          </w:tcPr>
          <w:p w14:paraId="13095292" w14:textId="04EAB8E2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(+64.3%)</w:t>
            </w:r>
          </w:p>
        </w:tc>
        <w:tc>
          <w:tcPr>
            <w:tcW w:w="1219" w:type="dxa"/>
            <w:vAlign w:val="center"/>
          </w:tcPr>
          <w:p w14:paraId="67B175F7" w14:textId="53CFD7C3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B75E68">
              <w:rPr>
                <w:rFonts w:ascii="Arial" w:hAnsi="Arial" w:cs="Arial"/>
                <w:i/>
                <w:color w:val="FF0000"/>
                <w:sz w:val="18"/>
              </w:rPr>
              <w:t>(+30.7%)</w:t>
            </w:r>
          </w:p>
        </w:tc>
        <w:tc>
          <w:tcPr>
            <w:tcW w:w="1219" w:type="dxa"/>
            <w:vAlign w:val="center"/>
          </w:tcPr>
          <w:p w14:paraId="1E077726" w14:textId="63AC9F5C" w:rsidR="005008E6" w:rsidRPr="00667FDC" w:rsidRDefault="005008E6" w:rsidP="005008E6">
            <w:pPr>
              <w:jc w:val="center"/>
              <w:rPr>
                <w:rFonts w:ascii="Arial" w:hAnsi="Arial" w:cs="Arial"/>
                <w:i/>
                <w:color w:val="000080"/>
                <w:sz w:val="18"/>
              </w:rPr>
            </w:pPr>
            <w:r w:rsidRPr="00B75E68">
              <w:rPr>
                <w:rFonts w:ascii="Arial" w:hAnsi="Arial" w:cs="Arial"/>
                <w:i/>
                <w:color w:val="000080"/>
                <w:sz w:val="18"/>
              </w:rPr>
              <w:t>(+9.9%)</w:t>
            </w:r>
          </w:p>
        </w:tc>
      </w:tr>
    </w:tbl>
    <w:p w14:paraId="4BE5802C" w14:textId="3CADED75" w:rsidR="00561CE6" w:rsidRPr="00667FDC" w:rsidRDefault="00561CE6" w:rsidP="00561CE6">
      <w:pPr>
        <w:rPr>
          <w:rFonts w:ascii="Arial" w:hAnsi="Arial"/>
          <w:i/>
          <w:sz w:val="16"/>
          <w:szCs w:val="16"/>
        </w:rPr>
      </w:pPr>
      <w:r w:rsidRPr="00667FDC">
        <w:rPr>
          <w:rFonts w:ascii="Arial" w:hAnsi="Arial"/>
          <w:b/>
          <w:i/>
          <w:sz w:val="16"/>
          <w:szCs w:val="16"/>
        </w:rPr>
        <w:t>Source</w:t>
      </w:r>
      <w:r w:rsidRPr="00667FDC">
        <w:rPr>
          <w:rFonts w:ascii="Arial" w:hAnsi="Arial"/>
          <w:i/>
          <w:sz w:val="16"/>
          <w:szCs w:val="16"/>
        </w:rPr>
        <w:t>: ONS Labour Market Statistics releases (</w:t>
      </w:r>
      <w:r w:rsidR="004C79F3" w:rsidRPr="00B75E68">
        <w:rPr>
          <w:rFonts w:ascii="Arial" w:hAnsi="Arial"/>
          <w:i/>
          <w:sz w:val="16"/>
          <w:szCs w:val="16"/>
        </w:rPr>
        <w:t>14 October and 11 November 2025</w:t>
      </w:r>
      <w:r w:rsidRPr="00667FDC">
        <w:rPr>
          <w:rFonts w:ascii="Arial" w:hAnsi="Arial"/>
          <w:i/>
          <w:sz w:val="16"/>
          <w:szCs w:val="16"/>
        </w:rPr>
        <w:t xml:space="preserve">).  </w:t>
      </w:r>
    </w:p>
    <w:p w14:paraId="3E73048E" w14:textId="77777777" w:rsidR="00561CE6" w:rsidRPr="00667FDC" w:rsidRDefault="00561CE6" w:rsidP="00561CE6">
      <w:pPr>
        <w:ind w:left="-142" w:right="-85"/>
        <w:rPr>
          <w:rFonts w:ascii="Arial" w:hAnsi="Arial"/>
          <w:color w:val="800000"/>
          <w:sz w:val="16"/>
          <w:szCs w:val="16"/>
        </w:rPr>
      </w:pPr>
    </w:p>
    <w:p w14:paraId="408FA749" w14:textId="77777777" w:rsidR="00B85E9A" w:rsidRPr="007A7753" w:rsidRDefault="00B85E9A" w:rsidP="00B85E9A">
      <w:pPr>
        <w:ind w:right="-85"/>
        <w:rPr>
          <w:rFonts w:ascii="Arial" w:hAnsi="Arial"/>
          <w:sz w:val="16"/>
          <w:szCs w:val="16"/>
        </w:rPr>
      </w:pPr>
      <w:r w:rsidRPr="007A7753">
        <w:rPr>
          <w:rFonts w:ascii="Arial" w:hAnsi="Arial"/>
          <w:b/>
          <w:color w:val="800000"/>
          <w:sz w:val="16"/>
          <w:szCs w:val="16"/>
        </w:rPr>
        <w:t>Notes</w:t>
      </w:r>
      <w:r w:rsidRPr="007A7753">
        <w:rPr>
          <w:rFonts w:ascii="Arial" w:hAnsi="Arial"/>
          <w:color w:val="800000"/>
          <w:sz w:val="16"/>
          <w:szCs w:val="16"/>
        </w:rPr>
        <w:t>:</w:t>
      </w:r>
      <w:r w:rsidRPr="007A7753">
        <w:rPr>
          <w:rFonts w:ascii="Arial" w:hAnsi="Arial"/>
          <w:sz w:val="16"/>
          <w:szCs w:val="16"/>
        </w:rPr>
        <w:t xml:space="preserve"> </w:t>
      </w:r>
    </w:p>
    <w:p w14:paraId="535A0EBA" w14:textId="77777777" w:rsidR="00F37DA7" w:rsidRPr="00BC14B8" w:rsidRDefault="00F37DA7" w:rsidP="006D7507">
      <w:pPr>
        <w:pStyle w:val="ListParagraph"/>
        <w:numPr>
          <w:ilvl w:val="0"/>
          <w:numId w:val="1"/>
        </w:numPr>
        <w:ind w:right="-113"/>
        <w:rPr>
          <w:rFonts w:ascii="Arial" w:hAnsi="Arial"/>
          <w:color w:val="800000"/>
          <w:sz w:val="16"/>
          <w:szCs w:val="16"/>
        </w:rPr>
      </w:pPr>
      <w:r w:rsidRPr="00BC14B8">
        <w:rPr>
          <w:rFonts w:ascii="Arial" w:hAnsi="Arial"/>
          <w:color w:val="800000"/>
          <w:sz w:val="16"/>
          <w:szCs w:val="16"/>
        </w:rPr>
        <w:t xml:space="preserve">The claimant count consists of claimants of Jobseekers’ Allowance (JSA) plus Universal Credit (UC) claimants who are required to search for work. </w:t>
      </w:r>
      <w:proofErr w:type="gramStart"/>
      <w:r w:rsidRPr="00BC14B8">
        <w:rPr>
          <w:rFonts w:ascii="Arial" w:hAnsi="Arial"/>
          <w:color w:val="800000"/>
          <w:sz w:val="16"/>
          <w:szCs w:val="16"/>
        </w:rPr>
        <w:t>Claimant</w:t>
      </w:r>
      <w:proofErr w:type="gramEnd"/>
      <w:r w:rsidRPr="00BC14B8">
        <w:rPr>
          <w:rFonts w:ascii="Arial" w:hAnsi="Arial"/>
          <w:color w:val="800000"/>
          <w:sz w:val="16"/>
          <w:szCs w:val="16"/>
        </w:rPr>
        <w:t xml:space="preserve"> count rates are expressed as a proportion of working age residents (aged 16-64).  </w:t>
      </w:r>
    </w:p>
    <w:p w14:paraId="40F3D8ED" w14:textId="77777777" w:rsidR="00F37DA7" w:rsidRPr="00BC14B8" w:rsidRDefault="00F37DA7" w:rsidP="006D7507">
      <w:pPr>
        <w:pStyle w:val="ListParagraph"/>
        <w:numPr>
          <w:ilvl w:val="0"/>
          <w:numId w:val="1"/>
        </w:numPr>
        <w:ind w:right="-113"/>
        <w:rPr>
          <w:rFonts w:ascii="Arial" w:hAnsi="Arial"/>
          <w:color w:val="800000"/>
          <w:sz w:val="16"/>
          <w:szCs w:val="16"/>
        </w:rPr>
      </w:pPr>
      <w:r w:rsidRPr="00BC14B8">
        <w:rPr>
          <w:rFonts w:ascii="Arial" w:hAnsi="Arial"/>
          <w:color w:val="800000"/>
          <w:sz w:val="16"/>
          <w:szCs w:val="16"/>
        </w:rPr>
        <w:t>The survey-based totals and rates are subject to sampling variability, the effect of which increases at local levels.  The model-based unemployment (MU) estimates improve on the Annual Population Survey (APS) estimates by borrowing strength from the claimant count measure.  These rates are expressed as a proportion of the economically active population aged 16 and over.  MU estimates are not available nationally therefore the APS unemployment figures for Wales and UK are included in the table.</w:t>
      </w:r>
    </w:p>
    <w:p w14:paraId="56A8736E" w14:textId="3742F4E0" w:rsidR="00F37DA7" w:rsidRPr="00F37DA7" w:rsidRDefault="00F37DA7" w:rsidP="006D7507">
      <w:pPr>
        <w:pStyle w:val="ListParagraph"/>
        <w:numPr>
          <w:ilvl w:val="0"/>
          <w:numId w:val="1"/>
        </w:numPr>
        <w:ind w:right="-113"/>
        <w:rPr>
          <w:rFonts w:ascii="Arial" w:hAnsi="Arial"/>
          <w:color w:val="800000"/>
          <w:sz w:val="16"/>
          <w:szCs w:val="16"/>
        </w:rPr>
      </w:pPr>
      <w:r w:rsidRPr="00BC14B8">
        <w:rPr>
          <w:rFonts w:ascii="Arial" w:hAnsi="Arial" w:cs="Arial"/>
          <w:color w:val="800000"/>
          <w:sz w:val="16"/>
          <w:szCs w:val="16"/>
        </w:rPr>
        <w:t>Due to data quality and reliability issues, including those caused by UC roll-out and declining survey response rates (APS), these data sources do not currently have National Statistics status and are labelled ‘official statistics in development’ by ONS.</w:t>
      </w:r>
    </w:p>
    <w:p w14:paraId="7EF7903E" w14:textId="17611A68" w:rsidR="00561CE6" w:rsidRPr="00B85E9A" w:rsidRDefault="00F37DA7" w:rsidP="006D7507">
      <w:pPr>
        <w:pStyle w:val="ListParagraph"/>
        <w:numPr>
          <w:ilvl w:val="0"/>
          <w:numId w:val="1"/>
        </w:numPr>
        <w:ind w:right="-85"/>
        <w:rPr>
          <w:rFonts w:ascii="Arial" w:hAnsi="Arial"/>
          <w:color w:val="800000"/>
          <w:sz w:val="16"/>
          <w:szCs w:val="16"/>
        </w:rPr>
      </w:pPr>
      <w:r w:rsidRPr="007A7753">
        <w:rPr>
          <w:rFonts w:ascii="Arial" w:hAnsi="Arial"/>
          <w:color w:val="800000"/>
          <w:sz w:val="16"/>
          <w:szCs w:val="16"/>
        </w:rPr>
        <w:t>Statistics for claimants of Universal Credit and other employment and income related benefits are also available</w:t>
      </w:r>
      <w:r w:rsidR="00B85E9A" w:rsidRPr="007A7753">
        <w:rPr>
          <w:rFonts w:ascii="Arial" w:hAnsi="Arial"/>
          <w:color w:val="800000"/>
          <w:sz w:val="16"/>
          <w:szCs w:val="16"/>
        </w:rPr>
        <w:t>.</w:t>
      </w:r>
    </w:p>
    <w:p w14:paraId="7A659FE4" w14:textId="77777777" w:rsidR="005D6B6D" w:rsidRDefault="005D6B6D" w:rsidP="00D50E76">
      <w:pPr>
        <w:ind w:hanging="284"/>
        <w:rPr>
          <w:rFonts w:ascii="Arial" w:hAnsi="Arial" w:cs="Arial"/>
          <w:b/>
          <w:color w:val="000080"/>
          <w:sz w:val="24"/>
          <w:szCs w:val="24"/>
        </w:rPr>
      </w:pPr>
    </w:p>
    <w:p w14:paraId="27B3FA52" w14:textId="77777777" w:rsidR="00561CE6" w:rsidRDefault="00561CE6" w:rsidP="00561CE6">
      <w:pPr>
        <w:rPr>
          <w:rFonts w:ascii="Arial" w:hAnsi="Arial" w:cs="Arial"/>
          <w:b/>
          <w:color w:val="000080"/>
          <w:sz w:val="24"/>
          <w:szCs w:val="24"/>
        </w:rPr>
      </w:pPr>
    </w:p>
    <w:p w14:paraId="3E96E572" w14:textId="77777777" w:rsidR="00561CE6" w:rsidRDefault="00561CE6" w:rsidP="00561CE6">
      <w:pPr>
        <w:rPr>
          <w:rFonts w:ascii="Arial" w:hAnsi="Arial" w:cs="Arial"/>
          <w:b/>
          <w:color w:val="000080"/>
          <w:sz w:val="24"/>
          <w:szCs w:val="24"/>
        </w:rPr>
      </w:pPr>
    </w:p>
    <w:p w14:paraId="3DED0F18" w14:textId="77777777" w:rsidR="00561CE6" w:rsidRPr="00561CE6" w:rsidRDefault="00561CE6" w:rsidP="00561CE6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561CE6">
        <w:rPr>
          <w:rFonts w:ascii="Arial" w:hAnsi="Arial" w:cs="Arial"/>
          <w:b/>
          <w:bCs/>
          <w:sz w:val="24"/>
          <w:szCs w:val="24"/>
          <w:lang w:val="cy-GB"/>
        </w:rPr>
        <w:t>Tabl 5 Diweithdra</w:t>
      </w:r>
    </w:p>
    <w:p w14:paraId="4A68ECE7" w14:textId="77777777" w:rsidR="00561CE6" w:rsidRPr="000460F0" w:rsidRDefault="00561CE6" w:rsidP="00561CE6">
      <w:pPr>
        <w:ind w:left="-142"/>
        <w:jc w:val="both"/>
        <w:rPr>
          <w:rFonts w:asciiTheme="minorHAnsi" w:hAnsiTheme="minorHAnsi" w:cstheme="minorHAnsi"/>
          <w:sz w:val="14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34"/>
        <w:gridCol w:w="1304"/>
        <w:gridCol w:w="1219"/>
        <w:gridCol w:w="1219"/>
        <w:gridCol w:w="1219"/>
      </w:tblGrid>
      <w:tr w:rsidR="00866C35" w:rsidRPr="00DC3ACE" w14:paraId="0E1D34F2" w14:textId="77777777" w:rsidTr="00304F0D">
        <w:tc>
          <w:tcPr>
            <w:tcW w:w="34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715C00" w14:textId="77777777" w:rsidR="00866C35" w:rsidRPr="00DC3ACE" w:rsidRDefault="00866C35" w:rsidP="00304F0D">
            <w:pPr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>Mesur diweithdra: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E3513A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>Mis/ cyfnod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76B00731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 xml:space="preserve">Abertawe </w:t>
            </w:r>
            <w:r w:rsidRPr="00DC3ACE">
              <w:rPr>
                <w:rFonts w:ascii="Arial" w:hAnsi="Arial" w:cs="Arial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sz w:val="18"/>
                <w:szCs w:val="18"/>
                <w:lang w:val="cy-GB"/>
              </w:rPr>
              <w:t xml:space="preserve"> Cyfanswm </w:t>
            </w:r>
            <w:r w:rsidRPr="00DC3ACE">
              <w:rPr>
                <w:rFonts w:ascii="Arial" w:hAnsi="Arial" w:cs="Arial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sz w:val="16"/>
                <w:szCs w:val="18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i/>
                <w:iCs/>
                <w:sz w:val="16"/>
                <w:szCs w:val="18"/>
                <w:lang w:val="cy-GB"/>
              </w:rPr>
              <w:t>(newid)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5A10DCEF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  <w:p w14:paraId="53F899A9" w14:textId="77777777" w:rsidR="00866C35" w:rsidRPr="00DC3ACE" w:rsidRDefault="00866C35" w:rsidP="00304F0D">
            <w:pPr>
              <w:jc w:val="center"/>
              <w:rPr>
                <w:rFonts w:ascii="Arial" w:hAnsi="Arial" w:cs="Arial"/>
              </w:rPr>
            </w:pPr>
            <w:r w:rsidRPr="00DC3ACE">
              <w:rPr>
                <w:rFonts w:ascii="Arial" w:hAnsi="Arial" w:cs="Arial"/>
                <w:sz w:val="18"/>
                <w:lang w:val="cy-GB"/>
              </w:rPr>
              <w:t xml:space="preserve">Cyfradd </w:t>
            </w:r>
            <w:r w:rsidRPr="00DC3ACE">
              <w:rPr>
                <w:rFonts w:ascii="Arial" w:hAnsi="Arial" w:cs="Arial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sz w:val="16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i/>
                <w:iCs/>
                <w:sz w:val="16"/>
                <w:lang w:val="cy-GB"/>
              </w:rPr>
              <w:t>(%-n.)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032BC443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3ACE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  <w:p w14:paraId="4114E5FA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color w:val="FF0000"/>
              </w:rPr>
            </w:pPr>
            <w:r w:rsidRPr="00DC3ACE">
              <w:rPr>
                <w:rFonts w:ascii="Arial" w:hAnsi="Arial" w:cs="Arial"/>
                <w:color w:val="FF0000"/>
                <w:sz w:val="18"/>
                <w:lang w:val="cy-GB"/>
              </w:rPr>
              <w:t xml:space="preserve">Cyfradd </w:t>
            </w:r>
            <w:r w:rsidRPr="00DC3ACE">
              <w:rPr>
                <w:rFonts w:ascii="Arial" w:hAnsi="Arial" w:cs="Arial"/>
                <w:color w:val="FF0000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color w:val="FF0000"/>
                <w:sz w:val="16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i/>
                <w:iCs/>
                <w:color w:val="FF0000"/>
                <w:sz w:val="16"/>
                <w:lang w:val="cy-GB"/>
              </w:rPr>
              <w:t>(%-n.)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59C78508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DC3ACE">
              <w:rPr>
                <w:rFonts w:ascii="Arial" w:hAnsi="Arial" w:cs="Arial"/>
                <w:b/>
                <w:bCs/>
                <w:color w:val="000080"/>
                <w:lang w:val="cy-GB"/>
              </w:rPr>
              <w:t>Y DU</w:t>
            </w:r>
          </w:p>
          <w:p w14:paraId="56477340" w14:textId="77777777" w:rsidR="00866C35" w:rsidRPr="00DC3ACE" w:rsidRDefault="00866C35" w:rsidP="00304F0D">
            <w:pPr>
              <w:jc w:val="center"/>
              <w:rPr>
                <w:rFonts w:ascii="Arial" w:hAnsi="Arial" w:cs="Arial"/>
                <w:color w:val="000080"/>
              </w:rPr>
            </w:pPr>
            <w:r w:rsidRPr="00DC3ACE">
              <w:rPr>
                <w:rFonts w:ascii="Arial" w:hAnsi="Arial" w:cs="Arial"/>
                <w:color w:val="000080"/>
                <w:sz w:val="18"/>
                <w:lang w:val="cy-GB"/>
              </w:rPr>
              <w:t xml:space="preserve">Cyfradd </w:t>
            </w:r>
            <w:r w:rsidRPr="00DC3ACE">
              <w:rPr>
                <w:rFonts w:ascii="Arial" w:hAnsi="Arial" w:cs="Arial"/>
                <w:color w:val="000080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color w:val="000080"/>
                <w:sz w:val="16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i/>
                <w:iCs/>
                <w:color w:val="000080"/>
                <w:sz w:val="16"/>
                <w:lang w:val="cy-GB"/>
              </w:rPr>
              <w:t>(%-n.)</w:t>
            </w:r>
          </w:p>
        </w:tc>
      </w:tr>
      <w:tr w:rsidR="003D7F36" w:rsidRPr="00DC3ACE" w14:paraId="70928198" w14:textId="77777777" w:rsidTr="00304F0D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184E176" w14:textId="70F264DD" w:rsidR="003D7F36" w:rsidRPr="00DC3ACE" w:rsidRDefault="003D7F36" w:rsidP="003D7F36">
            <w:pPr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>Nifer yr hawlwyr</w:t>
            </w:r>
            <w:r w:rsidRPr="00DC3ACE">
              <w:rPr>
                <w:rFonts w:ascii="Arial" w:hAnsi="Arial" w:cs="Arial"/>
                <w:lang w:val="cy-GB"/>
              </w:rPr>
              <w:t xml:space="preserve"> </w:t>
            </w:r>
            <w:r w:rsidRPr="00DC3ACE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(heb ei addasu)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CA3287" w14:textId="0573F740" w:rsidR="003D7F36" w:rsidRPr="00DC3ACE" w:rsidRDefault="00FB5E96" w:rsidP="003D7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Hyd</w:t>
            </w:r>
            <w:r w:rsidR="003D7F36" w:rsidRPr="00DC3ACE">
              <w:rPr>
                <w:rFonts w:ascii="Arial" w:hAnsi="Arial" w:cs="Arial"/>
                <w:b/>
                <w:bCs/>
                <w:lang w:val="cy-GB"/>
              </w:rPr>
              <w:t>-2</w:t>
            </w:r>
            <w:r w:rsidR="003D7F36">
              <w:rPr>
                <w:rFonts w:ascii="Arial" w:hAnsi="Arial" w:cs="Arial"/>
                <w:b/>
                <w:bCs/>
                <w:lang w:val="cy-GB"/>
              </w:rPr>
              <w:t>5</w:t>
            </w:r>
          </w:p>
        </w:tc>
        <w:tc>
          <w:tcPr>
            <w:tcW w:w="1304" w:type="dxa"/>
            <w:vAlign w:val="center"/>
          </w:tcPr>
          <w:p w14:paraId="35012389" w14:textId="302DF22A" w:rsidR="003D7F36" w:rsidRPr="00DC3ACE" w:rsidRDefault="003D7F36" w:rsidP="003D7F3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5,220</w:t>
            </w:r>
          </w:p>
        </w:tc>
        <w:tc>
          <w:tcPr>
            <w:tcW w:w="1219" w:type="dxa"/>
            <w:vAlign w:val="center"/>
          </w:tcPr>
          <w:p w14:paraId="07BD04FB" w14:textId="154E8E9F" w:rsidR="003D7F36" w:rsidRPr="00DC3ACE" w:rsidRDefault="003D7F36" w:rsidP="003D7F3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3.4%</w:t>
            </w:r>
          </w:p>
        </w:tc>
        <w:tc>
          <w:tcPr>
            <w:tcW w:w="1219" w:type="dxa"/>
            <w:vAlign w:val="center"/>
          </w:tcPr>
          <w:p w14:paraId="7974CC39" w14:textId="0EFF7DCD" w:rsidR="003D7F36" w:rsidRPr="00DC3ACE" w:rsidRDefault="003D7F36" w:rsidP="003D7F36">
            <w:pPr>
              <w:jc w:val="center"/>
              <w:rPr>
                <w:rFonts w:ascii="Arial" w:hAnsi="Arial" w:cs="Arial"/>
                <w:color w:val="FF0000"/>
              </w:rPr>
            </w:pPr>
            <w:r w:rsidRPr="00B75E68">
              <w:rPr>
                <w:rFonts w:ascii="Arial" w:hAnsi="Arial" w:cs="Arial"/>
                <w:color w:val="FF0000"/>
              </w:rPr>
              <w:t>3.3%</w:t>
            </w:r>
          </w:p>
        </w:tc>
        <w:tc>
          <w:tcPr>
            <w:tcW w:w="1219" w:type="dxa"/>
            <w:vAlign w:val="center"/>
          </w:tcPr>
          <w:p w14:paraId="10CBAC02" w14:textId="15790E6B" w:rsidR="003D7F36" w:rsidRPr="00DC3ACE" w:rsidRDefault="003D7F36" w:rsidP="003D7F36">
            <w:pPr>
              <w:jc w:val="center"/>
              <w:rPr>
                <w:rFonts w:ascii="Arial" w:hAnsi="Arial" w:cs="Arial"/>
                <w:color w:val="000080"/>
              </w:rPr>
            </w:pPr>
            <w:r w:rsidRPr="00B75E68">
              <w:rPr>
                <w:rFonts w:ascii="Arial" w:hAnsi="Arial" w:cs="Arial"/>
                <w:color w:val="000080"/>
              </w:rPr>
              <w:t>4.0%</w:t>
            </w:r>
          </w:p>
        </w:tc>
      </w:tr>
      <w:tr w:rsidR="00787EFD" w:rsidRPr="00DC3ACE" w14:paraId="5127232F" w14:textId="77777777" w:rsidTr="00304F0D">
        <w:tc>
          <w:tcPr>
            <w:tcW w:w="4537" w:type="dxa"/>
            <w:gridSpan w:val="2"/>
            <w:vAlign w:val="center"/>
          </w:tcPr>
          <w:p w14:paraId="3F829F40" w14:textId="0B7A3FAB" w:rsidR="00787EFD" w:rsidRPr="00DC3ACE" w:rsidRDefault="00787EFD" w:rsidP="00787EFD">
            <w:pPr>
              <w:jc w:val="right"/>
              <w:rPr>
                <w:rFonts w:ascii="Arial" w:hAnsi="Arial" w:cs="Arial"/>
                <w:i/>
              </w:rPr>
            </w:pPr>
            <w:r w:rsidRPr="001D0171">
              <w:rPr>
                <w:rFonts w:ascii="Arial" w:hAnsi="Arial" w:cs="Arial"/>
                <w:i/>
                <w:iCs/>
                <w:lang w:val="cy-GB"/>
              </w:rPr>
              <w:t>Newid ar y chwarter (Meh-25 – Hyd-25)</w:t>
            </w:r>
          </w:p>
        </w:tc>
        <w:tc>
          <w:tcPr>
            <w:tcW w:w="1304" w:type="dxa"/>
            <w:vAlign w:val="center"/>
          </w:tcPr>
          <w:p w14:paraId="11243DFC" w14:textId="067E3F8B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(+145)</w:t>
            </w:r>
          </w:p>
        </w:tc>
        <w:tc>
          <w:tcPr>
            <w:tcW w:w="1219" w:type="dxa"/>
            <w:vAlign w:val="center"/>
          </w:tcPr>
          <w:p w14:paraId="366A96F5" w14:textId="3E886A14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(+2.9%)</w:t>
            </w:r>
          </w:p>
        </w:tc>
        <w:tc>
          <w:tcPr>
            <w:tcW w:w="1219" w:type="dxa"/>
            <w:vAlign w:val="center"/>
          </w:tcPr>
          <w:p w14:paraId="322E0780" w14:textId="2EFE7123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B75E68">
              <w:rPr>
                <w:rFonts w:ascii="Arial" w:hAnsi="Arial" w:cs="Arial"/>
                <w:i/>
                <w:color w:val="FF0000"/>
                <w:sz w:val="18"/>
              </w:rPr>
              <w:t>(+3.0%)</w:t>
            </w:r>
          </w:p>
        </w:tc>
        <w:tc>
          <w:tcPr>
            <w:tcW w:w="1219" w:type="dxa"/>
            <w:vAlign w:val="center"/>
          </w:tcPr>
          <w:p w14:paraId="2AE292D1" w14:textId="2DA3D3D4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color w:val="000080"/>
                <w:sz w:val="18"/>
              </w:rPr>
            </w:pPr>
            <w:r w:rsidRPr="00B75E68">
              <w:rPr>
                <w:rFonts w:ascii="Arial" w:hAnsi="Arial" w:cs="Arial"/>
                <w:i/>
                <w:color w:val="000080"/>
                <w:sz w:val="18"/>
              </w:rPr>
              <w:t>(+1.4%)</w:t>
            </w:r>
          </w:p>
        </w:tc>
      </w:tr>
      <w:tr w:rsidR="00787EFD" w:rsidRPr="00DC3ACE" w14:paraId="57106214" w14:textId="77777777" w:rsidTr="00304F0D"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657D91F2" w14:textId="6C3C84A0" w:rsidR="00787EFD" w:rsidRPr="00DC3ACE" w:rsidRDefault="00787EFD" w:rsidP="00787EFD">
            <w:pPr>
              <w:jc w:val="right"/>
              <w:rPr>
                <w:rFonts w:ascii="Arial" w:hAnsi="Arial" w:cs="Arial"/>
                <w:i/>
              </w:rPr>
            </w:pPr>
            <w:r w:rsidRPr="001D0171">
              <w:rPr>
                <w:rFonts w:ascii="Arial" w:hAnsi="Arial" w:cs="Arial"/>
                <w:i/>
                <w:iCs/>
                <w:lang w:val="cy-GB"/>
              </w:rPr>
              <w:t>Newid ar y flwyddyn (Hyd-24 – Hyd-25)</w:t>
            </w:r>
          </w:p>
        </w:tc>
        <w:tc>
          <w:tcPr>
            <w:tcW w:w="1304" w:type="dxa"/>
            <w:vAlign w:val="center"/>
          </w:tcPr>
          <w:p w14:paraId="1D54E2E2" w14:textId="0D390996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(-160)</w:t>
            </w:r>
          </w:p>
        </w:tc>
        <w:tc>
          <w:tcPr>
            <w:tcW w:w="1219" w:type="dxa"/>
            <w:vAlign w:val="center"/>
          </w:tcPr>
          <w:p w14:paraId="5C90B624" w14:textId="64876097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(-3.0%)</w:t>
            </w:r>
          </w:p>
        </w:tc>
        <w:tc>
          <w:tcPr>
            <w:tcW w:w="1219" w:type="dxa"/>
            <w:vAlign w:val="center"/>
          </w:tcPr>
          <w:p w14:paraId="36A86C34" w14:textId="3F4AC28E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B75E68">
              <w:rPr>
                <w:rFonts w:ascii="Arial" w:hAnsi="Arial" w:cs="Arial"/>
                <w:i/>
                <w:color w:val="FF0000"/>
                <w:sz w:val="18"/>
              </w:rPr>
              <w:t>(-3.4%)</w:t>
            </w:r>
          </w:p>
        </w:tc>
        <w:tc>
          <w:tcPr>
            <w:tcW w:w="1219" w:type="dxa"/>
            <w:vAlign w:val="center"/>
          </w:tcPr>
          <w:p w14:paraId="764BDAA8" w14:textId="281BF8DC" w:rsidR="00787EFD" w:rsidRPr="00DC3ACE" w:rsidRDefault="00787EFD" w:rsidP="00787EFD">
            <w:pPr>
              <w:jc w:val="center"/>
              <w:rPr>
                <w:rFonts w:ascii="Arial" w:hAnsi="Arial" w:cs="Arial"/>
                <w:i/>
                <w:color w:val="000080"/>
                <w:sz w:val="18"/>
              </w:rPr>
            </w:pPr>
            <w:r w:rsidRPr="00B75E68">
              <w:rPr>
                <w:rFonts w:ascii="Arial" w:hAnsi="Arial" w:cs="Arial"/>
                <w:i/>
                <w:color w:val="000080"/>
                <w:sz w:val="18"/>
              </w:rPr>
              <w:t>(-3.6%)</w:t>
            </w:r>
          </w:p>
        </w:tc>
      </w:tr>
      <w:tr w:rsidR="003D7F36" w:rsidRPr="00DC3ACE" w14:paraId="6516CC6E" w14:textId="77777777" w:rsidTr="00304F0D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A8F8DA2" w14:textId="7ABF7B6F" w:rsidR="003D7F36" w:rsidRPr="00DC3ACE" w:rsidRDefault="003D7F36" w:rsidP="003D7F36">
            <w:pPr>
              <w:rPr>
                <w:rFonts w:ascii="Arial" w:hAnsi="Arial" w:cs="Arial"/>
                <w:b/>
              </w:rPr>
            </w:pPr>
            <w:r w:rsidRPr="00DC3ACE">
              <w:rPr>
                <w:rFonts w:ascii="Arial" w:hAnsi="Arial" w:cs="Arial"/>
                <w:b/>
                <w:bCs/>
                <w:lang w:val="cy-GB"/>
              </w:rPr>
              <w:t xml:space="preserve"> Diweithdra </w:t>
            </w:r>
            <w:r w:rsidRPr="00DC3ACE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 xml:space="preserve">(amcangyfrif yn seiliedig ar fodel) </w:t>
            </w:r>
            <w:r w:rsidRPr="00DC3ACE">
              <w:rPr>
                <w:rFonts w:ascii="Arial" w:hAnsi="Arial" w:cs="Arial"/>
                <w:lang w:val="cy-GB"/>
              </w:rPr>
              <w:t xml:space="preserve"> 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3936B3" w14:textId="7070E606" w:rsidR="003D7F36" w:rsidRPr="00DC3ACE" w:rsidRDefault="003D7F36" w:rsidP="003D7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FB5E96">
              <w:rPr>
                <w:rFonts w:ascii="Arial" w:hAnsi="Arial" w:cs="Arial"/>
                <w:b/>
              </w:rPr>
              <w:t>eh</w:t>
            </w:r>
            <w:r w:rsidRPr="00DC3ACE">
              <w:rPr>
                <w:rFonts w:ascii="Arial" w:hAnsi="Arial" w:cs="Arial"/>
                <w:b/>
              </w:rPr>
              <w:t>-2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04" w:type="dxa"/>
            <w:vAlign w:val="center"/>
          </w:tcPr>
          <w:p w14:paraId="0DF4495F" w14:textId="4B0BC150" w:rsidR="003D7F36" w:rsidRPr="00DC3ACE" w:rsidRDefault="003D7F36" w:rsidP="003D7F3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6,900</w:t>
            </w:r>
          </w:p>
        </w:tc>
        <w:tc>
          <w:tcPr>
            <w:tcW w:w="1219" w:type="dxa"/>
            <w:vAlign w:val="center"/>
          </w:tcPr>
          <w:p w14:paraId="6FAF7AE7" w14:textId="3B493B3F" w:rsidR="003D7F36" w:rsidRPr="00DC3ACE" w:rsidRDefault="003D7F36" w:rsidP="003D7F36">
            <w:pPr>
              <w:jc w:val="center"/>
              <w:rPr>
                <w:rFonts w:ascii="Arial" w:hAnsi="Arial" w:cs="Arial"/>
                <w:b/>
              </w:rPr>
            </w:pPr>
            <w:r w:rsidRPr="00B75E68">
              <w:rPr>
                <w:rFonts w:ascii="Arial" w:hAnsi="Arial" w:cs="Arial"/>
                <w:b/>
              </w:rPr>
              <w:t>5.9%</w:t>
            </w:r>
          </w:p>
        </w:tc>
        <w:tc>
          <w:tcPr>
            <w:tcW w:w="1219" w:type="dxa"/>
            <w:vAlign w:val="center"/>
          </w:tcPr>
          <w:p w14:paraId="3A0AF55E" w14:textId="62772FCF" w:rsidR="003D7F36" w:rsidRPr="00DC3ACE" w:rsidRDefault="003D7F36" w:rsidP="003D7F36">
            <w:pPr>
              <w:jc w:val="center"/>
              <w:rPr>
                <w:rFonts w:ascii="Arial" w:hAnsi="Arial" w:cs="Arial"/>
                <w:color w:val="FF0000"/>
              </w:rPr>
            </w:pPr>
            <w:r w:rsidRPr="00B75E68">
              <w:rPr>
                <w:rFonts w:ascii="Arial" w:hAnsi="Arial" w:cs="Arial"/>
                <w:color w:val="FF0000"/>
              </w:rPr>
              <w:t>4.1%</w:t>
            </w:r>
          </w:p>
        </w:tc>
        <w:tc>
          <w:tcPr>
            <w:tcW w:w="1219" w:type="dxa"/>
            <w:vAlign w:val="center"/>
          </w:tcPr>
          <w:p w14:paraId="5173DDF4" w14:textId="60C2FD3A" w:rsidR="003D7F36" w:rsidRPr="00DC3ACE" w:rsidRDefault="003D7F36" w:rsidP="003D7F36">
            <w:pPr>
              <w:jc w:val="center"/>
              <w:rPr>
                <w:rFonts w:ascii="Arial" w:hAnsi="Arial" w:cs="Arial"/>
                <w:color w:val="000080"/>
              </w:rPr>
            </w:pPr>
            <w:r w:rsidRPr="00B75E68">
              <w:rPr>
                <w:rFonts w:ascii="Arial" w:hAnsi="Arial" w:cs="Arial"/>
                <w:color w:val="000080"/>
              </w:rPr>
              <w:t>4.0%</w:t>
            </w:r>
          </w:p>
        </w:tc>
      </w:tr>
      <w:tr w:rsidR="00906469" w:rsidRPr="00DC3ACE" w14:paraId="59C372B1" w14:textId="77777777" w:rsidTr="00304F0D">
        <w:tc>
          <w:tcPr>
            <w:tcW w:w="4537" w:type="dxa"/>
            <w:gridSpan w:val="2"/>
            <w:vAlign w:val="center"/>
          </w:tcPr>
          <w:p w14:paraId="36AD7C4A" w14:textId="44C52618" w:rsidR="00906469" w:rsidRPr="00DC3ACE" w:rsidRDefault="00906469" w:rsidP="00906469">
            <w:pPr>
              <w:jc w:val="right"/>
              <w:rPr>
                <w:rFonts w:ascii="Arial" w:hAnsi="Arial" w:cs="Arial"/>
                <w:i/>
              </w:rPr>
            </w:pPr>
            <w:r w:rsidRPr="00DC3ACE">
              <w:rPr>
                <w:rFonts w:ascii="Arial" w:hAnsi="Arial" w:cs="Arial"/>
                <w:i/>
                <w:iCs/>
                <w:lang w:val="cy-GB"/>
              </w:rPr>
              <w:t xml:space="preserve">Newid ar y flwyddyn (b/g </w:t>
            </w:r>
            <w:r>
              <w:rPr>
                <w:rFonts w:ascii="Arial" w:hAnsi="Arial" w:cs="Arial"/>
                <w:i/>
                <w:iCs/>
                <w:lang w:val="cy-GB"/>
              </w:rPr>
              <w:t>M</w:t>
            </w:r>
            <w:r w:rsidR="00FB5E96">
              <w:rPr>
                <w:rFonts w:ascii="Arial" w:hAnsi="Arial" w:cs="Arial"/>
                <w:i/>
                <w:iCs/>
                <w:lang w:val="cy-GB"/>
              </w:rPr>
              <w:t>eh</w:t>
            </w:r>
            <w:r w:rsidRPr="00DC3ACE">
              <w:rPr>
                <w:rFonts w:ascii="Arial" w:hAnsi="Arial" w:cs="Arial"/>
                <w:i/>
                <w:iCs/>
                <w:lang w:val="cy-GB"/>
              </w:rPr>
              <w:t>-2</w:t>
            </w:r>
            <w:r>
              <w:rPr>
                <w:rFonts w:ascii="Arial" w:hAnsi="Arial" w:cs="Arial"/>
                <w:i/>
                <w:iCs/>
                <w:lang w:val="cy-GB"/>
              </w:rPr>
              <w:t>4</w:t>
            </w:r>
            <w:r w:rsidRPr="00DC3ACE">
              <w:rPr>
                <w:rFonts w:ascii="Arial" w:hAnsi="Arial" w:cs="Arial"/>
                <w:i/>
                <w:iCs/>
                <w:lang w:val="cy-GB"/>
              </w:rPr>
              <w:t xml:space="preserve"> – b/g </w:t>
            </w:r>
            <w:r>
              <w:rPr>
                <w:rFonts w:ascii="Arial" w:hAnsi="Arial" w:cs="Arial"/>
                <w:i/>
                <w:iCs/>
                <w:lang w:val="cy-GB"/>
              </w:rPr>
              <w:t>M</w:t>
            </w:r>
            <w:r w:rsidR="00FB5E96">
              <w:rPr>
                <w:rFonts w:ascii="Arial" w:hAnsi="Arial" w:cs="Arial"/>
                <w:i/>
                <w:iCs/>
                <w:lang w:val="cy-GB"/>
              </w:rPr>
              <w:t>eh</w:t>
            </w:r>
            <w:r w:rsidRPr="00DC3ACE">
              <w:rPr>
                <w:rFonts w:ascii="Arial" w:hAnsi="Arial" w:cs="Arial"/>
                <w:i/>
                <w:iCs/>
                <w:lang w:val="cy-GB"/>
              </w:rPr>
              <w:t>-2</w:t>
            </w:r>
            <w:r>
              <w:rPr>
                <w:rFonts w:ascii="Arial" w:hAnsi="Arial" w:cs="Arial"/>
                <w:i/>
                <w:iCs/>
                <w:lang w:val="cy-GB"/>
              </w:rPr>
              <w:t>5</w:t>
            </w:r>
            <w:r w:rsidRPr="00DC3ACE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304" w:type="dxa"/>
            <w:vAlign w:val="center"/>
          </w:tcPr>
          <w:p w14:paraId="3886050A" w14:textId="7DDA11E4" w:rsidR="00906469" w:rsidRPr="00DC3ACE" w:rsidRDefault="00906469" w:rsidP="00906469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(+2,700)</w:t>
            </w:r>
          </w:p>
        </w:tc>
        <w:tc>
          <w:tcPr>
            <w:tcW w:w="1219" w:type="dxa"/>
            <w:vAlign w:val="center"/>
          </w:tcPr>
          <w:p w14:paraId="087C2887" w14:textId="79319E68" w:rsidR="00906469" w:rsidRPr="00DC3ACE" w:rsidRDefault="00906469" w:rsidP="00906469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75E68">
              <w:rPr>
                <w:rFonts w:ascii="Arial" w:hAnsi="Arial" w:cs="Arial"/>
                <w:i/>
                <w:sz w:val="18"/>
              </w:rPr>
              <w:t>(+64.3%)</w:t>
            </w:r>
          </w:p>
        </w:tc>
        <w:tc>
          <w:tcPr>
            <w:tcW w:w="1219" w:type="dxa"/>
            <w:vAlign w:val="center"/>
          </w:tcPr>
          <w:p w14:paraId="1E2B78FE" w14:textId="5CDAF50D" w:rsidR="00906469" w:rsidRPr="00DC3ACE" w:rsidRDefault="00906469" w:rsidP="00906469">
            <w:pPr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B75E68">
              <w:rPr>
                <w:rFonts w:ascii="Arial" w:hAnsi="Arial" w:cs="Arial"/>
                <w:i/>
                <w:color w:val="FF0000"/>
                <w:sz w:val="18"/>
              </w:rPr>
              <w:t>(+30.7%)</w:t>
            </w:r>
          </w:p>
        </w:tc>
        <w:tc>
          <w:tcPr>
            <w:tcW w:w="1219" w:type="dxa"/>
            <w:vAlign w:val="center"/>
          </w:tcPr>
          <w:p w14:paraId="04CD79B9" w14:textId="7CCC5104" w:rsidR="00906469" w:rsidRPr="00DC3ACE" w:rsidRDefault="00906469" w:rsidP="00906469">
            <w:pPr>
              <w:jc w:val="center"/>
              <w:rPr>
                <w:rFonts w:ascii="Arial" w:hAnsi="Arial" w:cs="Arial"/>
                <w:i/>
                <w:color w:val="000080"/>
                <w:sz w:val="18"/>
              </w:rPr>
            </w:pPr>
            <w:r w:rsidRPr="00B75E68">
              <w:rPr>
                <w:rFonts w:ascii="Arial" w:hAnsi="Arial" w:cs="Arial"/>
                <w:i/>
                <w:color w:val="000080"/>
                <w:sz w:val="18"/>
              </w:rPr>
              <w:t>(+9.9%)</w:t>
            </w:r>
          </w:p>
        </w:tc>
      </w:tr>
    </w:tbl>
    <w:p w14:paraId="256AC08F" w14:textId="7A24A5B5" w:rsidR="00561CE6" w:rsidRPr="000460F0" w:rsidRDefault="00561CE6" w:rsidP="00561CE6">
      <w:pPr>
        <w:rPr>
          <w:rFonts w:ascii="Arial" w:hAnsi="Arial"/>
          <w:i/>
          <w:sz w:val="16"/>
          <w:szCs w:val="16"/>
        </w:rPr>
      </w:pPr>
      <w:proofErr w:type="spellStart"/>
      <w:r w:rsidRPr="000460F0">
        <w:rPr>
          <w:rFonts w:ascii="Arial" w:hAnsi="Arial"/>
          <w:b/>
          <w:i/>
          <w:sz w:val="16"/>
          <w:szCs w:val="16"/>
        </w:rPr>
        <w:t>Ffynhonnell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: </w:t>
      </w:r>
      <w:proofErr w:type="spellStart"/>
      <w:r w:rsidRPr="000460F0">
        <w:rPr>
          <w:rFonts w:ascii="Arial" w:hAnsi="Arial"/>
          <w:i/>
          <w:sz w:val="16"/>
          <w:szCs w:val="16"/>
        </w:rPr>
        <w:t>Datganiadau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0460F0">
        <w:rPr>
          <w:rFonts w:ascii="Arial" w:hAnsi="Arial"/>
          <w:i/>
          <w:sz w:val="16"/>
          <w:szCs w:val="16"/>
        </w:rPr>
        <w:t>ystadegau'r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0460F0">
        <w:rPr>
          <w:rFonts w:ascii="Arial" w:hAnsi="Arial"/>
          <w:i/>
          <w:sz w:val="16"/>
          <w:szCs w:val="16"/>
        </w:rPr>
        <w:t>farchnad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0460F0">
        <w:rPr>
          <w:rFonts w:ascii="Arial" w:hAnsi="Arial"/>
          <w:i/>
          <w:sz w:val="16"/>
          <w:szCs w:val="16"/>
        </w:rPr>
        <w:t>lafur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y SYG (</w:t>
      </w:r>
      <w:r w:rsidR="008D43D1" w:rsidRPr="001D0171">
        <w:rPr>
          <w:rFonts w:ascii="Arial" w:hAnsi="Arial"/>
          <w:i/>
          <w:sz w:val="16"/>
          <w:szCs w:val="16"/>
        </w:rPr>
        <w:t xml:space="preserve">14 Hydref ac 11 </w:t>
      </w:r>
      <w:proofErr w:type="spellStart"/>
      <w:r w:rsidR="008D43D1" w:rsidRPr="001D0171">
        <w:rPr>
          <w:rFonts w:ascii="Arial" w:hAnsi="Arial"/>
          <w:i/>
          <w:sz w:val="16"/>
          <w:szCs w:val="16"/>
        </w:rPr>
        <w:t>Tachwedd</w:t>
      </w:r>
      <w:proofErr w:type="spellEnd"/>
      <w:r w:rsidR="008D43D1" w:rsidRPr="001D0171">
        <w:rPr>
          <w:rFonts w:ascii="Arial" w:hAnsi="Arial"/>
          <w:i/>
          <w:sz w:val="16"/>
          <w:szCs w:val="16"/>
        </w:rPr>
        <w:t xml:space="preserve"> 2025</w:t>
      </w:r>
      <w:r w:rsidRPr="000460F0">
        <w:rPr>
          <w:rFonts w:ascii="Arial" w:hAnsi="Arial"/>
          <w:i/>
          <w:sz w:val="16"/>
          <w:szCs w:val="16"/>
        </w:rPr>
        <w:t xml:space="preserve">).  </w:t>
      </w:r>
    </w:p>
    <w:p w14:paraId="0B69F37C" w14:textId="77777777" w:rsidR="00561CE6" w:rsidRPr="000460F0" w:rsidRDefault="00561CE6" w:rsidP="00561CE6">
      <w:pPr>
        <w:ind w:left="-142" w:right="-85"/>
        <w:rPr>
          <w:rFonts w:ascii="Arial" w:hAnsi="Arial"/>
          <w:b/>
          <w:i/>
          <w:color w:val="800000"/>
          <w:sz w:val="16"/>
          <w:szCs w:val="16"/>
        </w:rPr>
      </w:pPr>
    </w:p>
    <w:p w14:paraId="7AAEA519" w14:textId="77777777" w:rsidR="00561CE6" w:rsidRPr="008C4576" w:rsidRDefault="00561CE6" w:rsidP="00561CE6">
      <w:pPr>
        <w:ind w:left="-142"/>
        <w:rPr>
          <w:rFonts w:ascii="Arial" w:hAnsi="Arial"/>
          <w:szCs w:val="16"/>
          <w:u w:val="single"/>
        </w:rPr>
      </w:pPr>
    </w:p>
    <w:p w14:paraId="6F21C1F0" w14:textId="77777777" w:rsidR="00D50E76" w:rsidRPr="00DC3ACE" w:rsidRDefault="00D50E76" w:rsidP="00D50E76">
      <w:pPr>
        <w:ind w:right="-85"/>
        <w:rPr>
          <w:rFonts w:ascii="Arial" w:hAnsi="Arial"/>
          <w:sz w:val="16"/>
          <w:szCs w:val="16"/>
        </w:rPr>
      </w:pPr>
      <w:proofErr w:type="spellStart"/>
      <w:r w:rsidRPr="00DC3ACE">
        <w:rPr>
          <w:rFonts w:ascii="Arial" w:hAnsi="Arial"/>
          <w:b/>
          <w:color w:val="800000"/>
          <w:sz w:val="16"/>
          <w:szCs w:val="16"/>
        </w:rPr>
        <w:t>Nodiadau</w:t>
      </w:r>
      <w:proofErr w:type="spellEnd"/>
      <w:r w:rsidRPr="00DC3ACE">
        <w:rPr>
          <w:rFonts w:ascii="Arial" w:hAnsi="Arial"/>
          <w:color w:val="800000"/>
          <w:sz w:val="16"/>
          <w:szCs w:val="16"/>
        </w:rPr>
        <w:t>:</w:t>
      </w:r>
      <w:r w:rsidRPr="00DC3ACE">
        <w:rPr>
          <w:rFonts w:ascii="Arial" w:hAnsi="Arial"/>
          <w:sz w:val="16"/>
          <w:szCs w:val="16"/>
        </w:rPr>
        <w:t xml:space="preserve"> </w:t>
      </w:r>
    </w:p>
    <w:p w14:paraId="07020F6D" w14:textId="77777777" w:rsidR="004957F6" w:rsidRPr="00DC3ACE" w:rsidRDefault="004957F6" w:rsidP="006D7507">
      <w:pPr>
        <w:pStyle w:val="ListParagraph"/>
        <w:numPr>
          <w:ilvl w:val="0"/>
          <w:numId w:val="3"/>
        </w:numPr>
        <w:ind w:right="312"/>
        <w:rPr>
          <w:rFonts w:ascii="Arial" w:hAnsi="Arial"/>
          <w:color w:val="800000"/>
          <w:sz w:val="16"/>
          <w:szCs w:val="16"/>
        </w:rPr>
      </w:pPr>
      <w:r w:rsidRPr="00480C6E">
        <w:rPr>
          <w:rFonts w:ascii="Arial" w:hAnsi="Arial"/>
          <w:color w:val="800000"/>
          <w:sz w:val="16"/>
          <w:szCs w:val="16"/>
          <w:lang w:val="cy-GB"/>
        </w:rPr>
        <w:t>Mae cyfanswm yr hawlwyr yn cynnwys y rhai hynny sy'n hawlio Lwfans Ceisio Gwaith, yn ogystal â'r rhai hynny sy'n hawlio Credyd Cynhwysol y mae'n rhaid iddynt chwilio am waith. Mynegir cyfraddau nifer yr hawlwyr fel cyfran o'r preswylwyr oedran gweithio (16-64 oed)</w:t>
      </w:r>
      <w:r w:rsidRPr="00DC3ACE">
        <w:rPr>
          <w:rFonts w:ascii="Arial" w:hAnsi="Arial"/>
          <w:color w:val="800000"/>
          <w:sz w:val="16"/>
          <w:szCs w:val="16"/>
          <w:lang w:val="cy-GB"/>
        </w:rPr>
        <w:t xml:space="preserve">.  </w:t>
      </w:r>
    </w:p>
    <w:p w14:paraId="75168A75" w14:textId="77777777" w:rsidR="004957F6" w:rsidRPr="00DC3ACE" w:rsidRDefault="004957F6" w:rsidP="006D7507">
      <w:pPr>
        <w:pStyle w:val="ListParagraph"/>
        <w:numPr>
          <w:ilvl w:val="0"/>
          <w:numId w:val="3"/>
        </w:numPr>
        <w:ind w:right="312"/>
        <w:rPr>
          <w:rFonts w:ascii="Arial" w:hAnsi="Arial"/>
          <w:color w:val="800000"/>
          <w:sz w:val="16"/>
          <w:szCs w:val="16"/>
        </w:rPr>
      </w:pPr>
      <w:proofErr w:type="spellStart"/>
      <w:r w:rsidRPr="00511D46">
        <w:rPr>
          <w:rFonts w:ascii="Arial" w:hAnsi="Arial"/>
          <w:color w:val="800000"/>
          <w:sz w:val="16"/>
          <w:szCs w:val="16"/>
        </w:rPr>
        <w:t>Mae'r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cyfansymiau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a'r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cyfraddau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sy'n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seiliedig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yr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arolwg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destun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amrywioldeb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y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samplau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,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sy'n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cael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mwy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o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effaith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lefelau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lleol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.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Mae'r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amcangyfrifon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diweithdra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sy'n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seiliedig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fodelu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gwella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amcangyfrifon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yr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Arolwg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Poblogaeth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Blynyddol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drwy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fesur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nifer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yr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hawlwyr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.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Mynegir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y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cyfraddau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hyn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fel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cyfran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o’r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boblogaeth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16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oed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ac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hŷn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sy’n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weithgar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economaidd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.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Nid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yw'r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amcangyfrifon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diweithdra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sy'n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seiliedig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fodelu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gael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genedlaethol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. Felly,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ni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chaiff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ffigurau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diweithdra'r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Arolwg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Poblogaeth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Blynyddol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gyfer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Cymru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a'r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DU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eu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cynnwys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511D46">
        <w:rPr>
          <w:rFonts w:ascii="Arial" w:hAnsi="Arial"/>
          <w:color w:val="800000"/>
          <w:sz w:val="16"/>
          <w:szCs w:val="16"/>
        </w:rPr>
        <w:t xml:space="preserve"> y </w:t>
      </w:r>
      <w:proofErr w:type="spellStart"/>
      <w:r w:rsidRPr="00511D46">
        <w:rPr>
          <w:rFonts w:ascii="Arial" w:hAnsi="Arial"/>
          <w:color w:val="800000"/>
          <w:sz w:val="16"/>
          <w:szCs w:val="16"/>
        </w:rPr>
        <w:t>tabl</w:t>
      </w:r>
      <w:proofErr w:type="spellEnd"/>
      <w:r>
        <w:rPr>
          <w:rFonts w:ascii="Arial" w:hAnsi="Arial"/>
          <w:color w:val="800000"/>
          <w:sz w:val="16"/>
          <w:szCs w:val="16"/>
        </w:rPr>
        <w:t>.</w:t>
      </w:r>
    </w:p>
    <w:p w14:paraId="7CCA9DBE" w14:textId="77777777" w:rsidR="004957F6" w:rsidRPr="00DC3ACE" w:rsidRDefault="004957F6" w:rsidP="006D7507">
      <w:pPr>
        <w:pStyle w:val="ListParagraph"/>
        <w:numPr>
          <w:ilvl w:val="0"/>
          <w:numId w:val="3"/>
        </w:numPr>
        <w:ind w:right="312"/>
        <w:rPr>
          <w:rFonts w:ascii="Arial" w:hAnsi="Arial"/>
          <w:color w:val="800000"/>
          <w:sz w:val="16"/>
          <w:szCs w:val="16"/>
        </w:rPr>
      </w:pPr>
      <w:proofErr w:type="spellStart"/>
      <w:r w:rsidRPr="00B72365">
        <w:rPr>
          <w:rFonts w:ascii="Arial" w:hAnsi="Arial"/>
          <w:color w:val="800000"/>
          <w:sz w:val="16"/>
          <w:szCs w:val="16"/>
        </w:rPr>
        <w:t>Oherwydd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problemau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o ran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ansawdd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a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dibynadwyedd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data,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gan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gynnwys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y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rhai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hynny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sy'n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deillio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o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gyflwyno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Credyd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Cynhwysol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a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chyfraddau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ymateb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llai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i'r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Arolwg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Poblogaeth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Blynyddol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,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nid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oes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gan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y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ffynonellau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data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hyn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statws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ystadegau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cenedlaethol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eto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ac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maent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yn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cael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eu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labelu'n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‘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ystadegau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swyddogol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o dan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ddatblygiad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’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gan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y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Swyddfa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Ystadegau</w:t>
      </w:r>
      <w:proofErr w:type="spellEnd"/>
      <w:r w:rsidRPr="00B72365">
        <w:rPr>
          <w:rFonts w:ascii="Arial" w:hAnsi="Arial"/>
          <w:color w:val="800000"/>
          <w:sz w:val="16"/>
          <w:szCs w:val="16"/>
        </w:rPr>
        <w:t xml:space="preserve"> </w:t>
      </w:r>
      <w:proofErr w:type="spellStart"/>
      <w:r w:rsidRPr="00B72365">
        <w:rPr>
          <w:rFonts w:ascii="Arial" w:hAnsi="Arial"/>
          <w:color w:val="800000"/>
          <w:sz w:val="16"/>
          <w:szCs w:val="16"/>
        </w:rPr>
        <w:t>Gwladol</w:t>
      </w:r>
      <w:proofErr w:type="spellEnd"/>
      <w:r w:rsidRPr="00DC3ACE">
        <w:rPr>
          <w:rFonts w:ascii="Arial" w:hAnsi="Arial"/>
          <w:color w:val="800000"/>
          <w:sz w:val="16"/>
          <w:szCs w:val="16"/>
          <w:lang w:val="cy-GB"/>
        </w:rPr>
        <w:t>.</w:t>
      </w:r>
    </w:p>
    <w:p w14:paraId="03FB5D12" w14:textId="16081AF3" w:rsidR="00561CE6" w:rsidRPr="004957F6" w:rsidRDefault="004957F6" w:rsidP="006D7507">
      <w:pPr>
        <w:pStyle w:val="ListParagraph"/>
        <w:numPr>
          <w:ilvl w:val="0"/>
          <w:numId w:val="3"/>
        </w:numPr>
        <w:ind w:right="312"/>
        <w:rPr>
          <w:rFonts w:ascii="Arial" w:hAnsi="Arial"/>
          <w:color w:val="800000"/>
          <w:sz w:val="16"/>
          <w:szCs w:val="16"/>
        </w:rPr>
      </w:pPr>
      <w:r w:rsidRPr="008C4576">
        <w:rPr>
          <w:rFonts w:ascii="Arial" w:hAnsi="Arial"/>
          <w:color w:val="800000"/>
          <w:sz w:val="16"/>
          <w:szCs w:val="16"/>
          <w:lang w:val="cy-GB"/>
        </w:rPr>
        <w:t>Mae ystadegau ar gyfer hawlwyr Credyd Cynhwysol a budd-daliadau eraill sy'n ymwneud â chyflogaeth ac incwm hefyd ar gael.</w:t>
      </w:r>
    </w:p>
    <w:sectPr w:rsidR="00561CE6" w:rsidRPr="004957F6" w:rsidSect="006E4185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65C"/>
    <w:multiLevelType w:val="hybridMultilevel"/>
    <w:tmpl w:val="DA6AD7B6"/>
    <w:lvl w:ilvl="0" w:tplc="A13C056C">
      <w:start w:val="1"/>
      <w:numFmt w:val="lowerRoman"/>
      <w:lvlText w:val="%1."/>
      <w:lvlJc w:val="left"/>
      <w:pPr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D3BEE"/>
    <w:multiLevelType w:val="hybridMultilevel"/>
    <w:tmpl w:val="F9ACE2BE"/>
    <w:lvl w:ilvl="0" w:tplc="EF60BDE0">
      <w:start w:val="1"/>
      <w:numFmt w:val="lowerRoman"/>
      <w:lvlText w:val="%1.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B60663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79A3C03"/>
    <w:multiLevelType w:val="hybridMultilevel"/>
    <w:tmpl w:val="FD182B7A"/>
    <w:lvl w:ilvl="0" w:tplc="0809001B">
      <w:start w:val="1"/>
      <w:numFmt w:val="lowerRoman"/>
      <w:lvlText w:val="%1."/>
      <w:lvlJc w:val="right"/>
      <w:pPr>
        <w:tabs>
          <w:tab w:val="num" w:pos="436"/>
        </w:tabs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6D954C83"/>
    <w:multiLevelType w:val="hybridMultilevel"/>
    <w:tmpl w:val="DEA88E5C"/>
    <w:lvl w:ilvl="0" w:tplc="66F0A296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42543982">
    <w:abstractNumId w:val="0"/>
  </w:num>
  <w:num w:numId="2" w16cid:durableId="1610889919">
    <w:abstractNumId w:val="4"/>
  </w:num>
  <w:num w:numId="3" w16cid:durableId="1517190373">
    <w:abstractNumId w:val="1"/>
  </w:num>
  <w:num w:numId="4" w16cid:durableId="1642925220">
    <w:abstractNumId w:val="2"/>
  </w:num>
  <w:num w:numId="5" w16cid:durableId="182192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E6"/>
    <w:rsid w:val="00157745"/>
    <w:rsid w:val="00215ADA"/>
    <w:rsid w:val="00287672"/>
    <w:rsid w:val="003D7F36"/>
    <w:rsid w:val="0046746C"/>
    <w:rsid w:val="004705A4"/>
    <w:rsid w:val="004957F6"/>
    <w:rsid w:val="004C25F3"/>
    <w:rsid w:val="004C79F3"/>
    <w:rsid w:val="004E34D4"/>
    <w:rsid w:val="005008E6"/>
    <w:rsid w:val="00561CE6"/>
    <w:rsid w:val="005D6B6D"/>
    <w:rsid w:val="006358C4"/>
    <w:rsid w:val="00684D09"/>
    <w:rsid w:val="00690F9B"/>
    <w:rsid w:val="006D0686"/>
    <w:rsid w:val="006D7507"/>
    <w:rsid w:val="006E0922"/>
    <w:rsid w:val="006E4185"/>
    <w:rsid w:val="00787EFD"/>
    <w:rsid w:val="007956B3"/>
    <w:rsid w:val="00797F23"/>
    <w:rsid w:val="00802C14"/>
    <w:rsid w:val="00866C35"/>
    <w:rsid w:val="008B21BC"/>
    <w:rsid w:val="008C1276"/>
    <w:rsid w:val="008D43D1"/>
    <w:rsid w:val="00906469"/>
    <w:rsid w:val="009A26DE"/>
    <w:rsid w:val="00A15EA9"/>
    <w:rsid w:val="00A22483"/>
    <w:rsid w:val="00A326CF"/>
    <w:rsid w:val="00A558D6"/>
    <w:rsid w:val="00B61E54"/>
    <w:rsid w:val="00B81FC2"/>
    <w:rsid w:val="00B85884"/>
    <w:rsid w:val="00B85E9A"/>
    <w:rsid w:val="00C0201F"/>
    <w:rsid w:val="00C25FCF"/>
    <w:rsid w:val="00C37921"/>
    <w:rsid w:val="00C76CFB"/>
    <w:rsid w:val="00CA2906"/>
    <w:rsid w:val="00D15047"/>
    <w:rsid w:val="00D50E76"/>
    <w:rsid w:val="00DA13A7"/>
    <w:rsid w:val="00DC5DD8"/>
    <w:rsid w:val="00DD5C3F"/>
    <w:rsid w:val="00DE3D1C"/>
    <w:rsid w:val="00E400D1"/>
    <w:rsid w:val="00E63731"/>
    <w:rsid w:val="00EF4182"/>
    <w:rsid w:val="00F144D3"/>
    <w:rsid w:val="00F37DA7"/>
    <w:rsid w:val="00F51A75"/>
    <w:rsid w:val="00F579A2"/>
    <w:rsid w:val="00F866C7"/>
    <w:rsid w:val="00F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A9AE"/>
  <w15:chartTrackingRefBased/>
  <w15:docId w15:val="{5F8C8F25-34D2-4E98-AE8C-F6946403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C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1CE6"/>
    <w:pPr>
      <w:ind w:left="720"/>
      <w:contextualSpacing/>
    </w:pPr>
  </w:style>
  <w:style w:type="table" w:styleId="TableGrid">
    <w:name w:val="Table Grid"/>
    <w:basedOn w:val="TableNormal"/>
    <w:rsid w:val="00F37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Props1.xml><?xml version="1.0" encoding="utf-8"?>
<ds:datastoreItem xmlns:ds="http://schemas.openxmlformats.org/officeDocument/2006/customXml" ds:itemID="{F3419F27-E886-4D57-92D3-16AC735BE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6EEF4-5544-422A-B040-F8AF3B8F9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FCFC5-80DD-46F1-98C4-9FD82A5E9011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547</Words>
  <Characters>3048</Characters>
  <Application>Microsoft Office Word</Application>
  <DocSecurity>0</DocSecurity>
  <Lines>121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50</cp:revision>
  <dcterms:created xsi:type="dcterms:W3CDTF">2024-02-02T09:33:00Z</dcterms:created>
  <dcterms:modified xsi:type="dcterms:W3CDTF">2025-11-17T10:05:00Z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